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DA4523" w:rsidRDefault="006544C4" w:rsidP="00DA4523">
      <w:pPr>
        <w:jc w:val="center"/>
        <w:rPr>
          <w:lang w:val="fr-FR"/>
        </w:rPr>
      </w:pPr>
      <w:bookmarkStart w:id="0" w:name="_GoBack"/>
      <w:bookmarkEnd w:id="0"/>
    </w:p>
    <w:p w:rsidR="0094178F" w:rsidRPr="00DA4523" w:rsidRDefault="0094178F" w:rsidP="00DA4523">
      <w:pPr>
        <w:jc w:val="center"/>
        <w:rPr>
          <w:sz w:val="4"/>
          <w:szCs w:val="4"/>
          <w:lang w:val="fr-FR"/>
        </w:rPr>
      </w:pPr>
    </w:p>
    <w:p w:rsidR="006544C4" w:rsidRPr="00DA4523" w:rsidRDefault="00F42BC1" w:rsidP="00DA4523">
      <w:pPr>
        <w:pStyle w:val="DecHTitle"/>
        <w:rPr>
          <w:lang w:val="fr-FR"/>
        </w:rPr>
      </w:pPr>
      <w:r w:rsidRPr="00DA4523">
        <w:rPr>
          <w:szCs w:val="24"/>
          <w:lang w:val="fr-FR"/>
        </w:rPr>
        <w:t>PREMIÈRE SECTION</w:t>
      </w:r>
    </w:p>
    <w:p w:rsidR="006544C4" w:rsidRPr="00DA4523" w:rsidRDefault="006544C4" w:rsidP="00DA4523">
      <w:pPr>
        <w:pStyle w:val="DecHTitle"/>
        <w:rPr>
          <w:caps/>
          <w:sz w:val="32"/>
          <w:lang w:val="fr-FR"/>
        </w:rPr>
      </w:pPr>
      <w:r w:rsidRPr="00DA4523">
        <w:rPr>
          <w:lang w:val="fr-FR"/>
        </w:rPr>
        <w:t>DÉCISION</w:t>
      </w:r>
    </w:p>
    <w:p w:rsidR="006544C4" w:rsidRPr="00DA4523" w:rsidRDefault="00F42BC1" w:rsidP="00DA4523">
      <w:pPr>
        <w:pStyle w:val="ECHRTitleCentre2"/>
        <w:rPr>
          <w:lang w:val="fr-FR"/>
        </w:rPr>
      </w:pPr>
      <w:r w:rsidRPr="00DA4523">
        <w:rPr>
          <w:lang w:val="fr-FR"/>
        </w:rPr>
        <w:t>Requête n</w:t>
      </w:r>
      <w:r w:rsidRPr="00DA4523">
        <w:rPr>
          <w:vertAlign w:val="superscript"/>
          <w:lang w:val="fr-FR"/>
        </w:rPr>
        <w:t>o</w:t>
      </w:r>
      <w:r w:rsidR="006544C4" w:rsidRPr="00DA4523">
        <w:rPr>
          <w:lang w:val="fr-FR"/>
        </w:rPr>
        <w:t xml:space="preserve"> </w:t>
      </w:r>
      <w:r w:rsidRPr="00DA4523">
        <w:rPr>
          <w:lang w:val="fr-FR"/>
        </w:rPr>
        <w:t>31031/16</w:t>
      </w:r>
      <w:r w:rsidR="006544C4" w:rsidRPr="00DA4523">
        <w:rPr>
          <w:lang w:val="fr-FR"/>
        </w:rPr>
        <w:br/>
      </w:r>
      <w:r w:rsidRPr="00DA4523">
        <w:rPr>
          <w:lang w:val="fr-FR"/>
        </w:rPr>
        <w:t>M.K</w:t>
      </w:r>
      <w:proofErr w:type="gramStart"/>
      <w:r w:rsidRPr="00DA4523">
        <w:rPr>
          <w:lang w:val="fr-FR"/>
        </w:rPr>
        <w:t>.</w:t>
      </w:r>
      <w:proofErr w:type="gramEnd"/>
      <w:r w:rsidRPr="00DA4523">
        <w:rPr>
          <w:lang w:val="fr-FR"/>
        </w:rPr>
        <w:br/>
      </w:r>
      <w:r w:rsidR="006544C4" w:rsidRPr="00DA4523">
        <w:rPr>
          <w:lang w:val="fr-FR"/>
        </w:rPr>
        <w:t xml:space="preserve">contre </w:t>
      </w:r>
      <w:r w:rsidRPr="00DA4523">
        <w:rPr>
          <w:lang w:val="fr-FR"/>
        </w:rPr>
        <w:t>l</w:t>
      </w:r>
      <w:r w:rsidR="00DA4523" w:rsidRPr="00DA4523">
        <w:rPr>
          <w:lang w:val="fr-FR"/>
        </w:rPr>
        <w:t>’</w:t>
      </w:r>
      <w:r w:rsidRPr="00DA4523">
        <w:rPr>
          <w:lang w:val="fr-FR"/>
        </w:rPr>
        <w:t>Italie</w:t>
      </w:r>
    </w:p>
    <w:p w:rsidR="00F42BC1" w:rsidRPr="00DA4523" w:rsidRDefault="00F42BC1" w:rsidP="00DA4523">
      <w:pPr>
        <w:pStyle w:val="ECHRPara"/>
        <w:rPr>
          <w:lang w:val="fr-FR"/>
        </w:rPr>
      </w:pPr>
      <w:r w:rsidRPr="00DA4523">
        <w:rPr>
          <w:lang w:val="fr-FR"/>
        </w:rPr>
        <w:t>La Cour européenne des droits de l</w:t>
      </w:r>
      <w:r w:rsidR="00DA4523" w:rsidRPr="00DA4523">
        <w:rPr>
          <w:lang w:val="fr-FR"/>
        </w:rPr>
        <w:t>’</w:t>
      </w:r>
      <w:r w:rsidRPr="00DA4523">
        <w:rPr>
          <w:lang w:val="fr-FR"/>
        </w:rPr>
        <w:t xml:space="preserve">homme (première section), siégeant le </w:t>
      </w:r>
      <w:r w:rsidR="001B5898" w:rsidRPr="00DA4523">
        <w:rPr>
          <w:lang w:val="fr-FR"/>
        </w:rPr>
        <w:t xml:space="preserve">16 janvier 2018 </w:t>
      </w:r>
      <w:r w:rsidRPr="00DA4523">
        <w:rPr>
          <w:lang w:val="fr-FR"/>
        </w:rPr>
        <w:t>en un comité composé de :</w:t>
      </w:r>
    </w:p>
    <w:p w:rsidR="00F42BC1" w:rsidRPr="00DA4523" w:rsidRDefault="001B5898" w:rsidP="00DA4523">
      <w:pPr>
        <w:pStyle w:val="ECHRDecisionBody"/>
        <w:rPr>
          <w:lang w:val="fr-FR"/>
        </w:rPr>
      </w:pPr>
      <w:r w:rsidRPr="00DA4523">
        <w:rPr>
          <w:lang w:val="fr-FR"/>
        </w:rPr>
        <w:tab/>
        <w:t>Kristina Pardalos,</w:t>
      </w:r>
      <w:r w:rsidRPr="00DA4523">
        <w:rPr>
          <w:i/>
          <w:lang w:val="fr-FR"/>
        </w:rPr>
        <w:t xml:space="preserve"> présidente,</w:t>
      </w:r>
      <w:r w:rsidRPr="00DA4523">
        <w:rPr>
          <w:i/>
          <w:lang w:val="fr-FR"/>
        </w:rPr>
        <w:br/>
      </w:r>
      <w:r w:rsidRPr="00DA4523">
        <w:rPr>
          <w:lang w:val="fr-FR"/>
        </w:rPr>
        <w:tab/>
        <w:t>Pauliine Koskelo,</w:t>
      </w:r>
      <w:r w:rsidRPr="00DA4523">
        <w:rPr>
          <w:i/>
          <w:lang w:val="fr-FR"/>
        </w:rPr>
        <w:br/>
      </w:r>
      <w:r w:rsidRPr="00DA4523">
        <w:rPr>
          <w:lang w:val="fr-FR"/>
        </w:rPr>
        <w:tab/>
        <w:t>Tim Eicke,</w:t>
      </w:r>
      <w:r w:rsidRPr="00DA4523">
        <w:rPr>
          <w:i/>
          <w:lang w:val="fr-FR"/>
        </w:rPr>
        <w:t xml:space="preserve"> juges,</w:t>
      </w:r>
    </w:p>
    <w:p w:rsidR="00F42BC1" w:rsidRPr="00DA4523" w:rsidRDefault="00F42BC1" w:rsidP="00DA4523">
      <w:pPr>
        <w:pStyle w:val="ECHRPara"/>
        <w:ind w:firstLine="0"/>
        <w:rPr>
          <w:lang w:val="fr-FR"/>
        </w:rPr>
      </w:pPr>
      <w:proofErr w:type="gramStart"/>
      <w:r w:rsidRPr="00DA4523">
        <w:rPr>
          <w:lang w:val="fr-FR"/>
        </w:rPr>
        <w:t>et</w:t>
      </w:r>
      <w:proofErr w:type="gramEnd"/>
      <w:r w:rsidRPr="00DA4523">
        <w:rPr>
          <w:lang w:val="fr-FR"/>
        </w:rPr>
        <w:t xml:space="preserve"> de Renata Degener, </w:t>
      </w:r>
      <w:r w:rsidRPr="00DA4523">
        <w:rPr>
          <w:i/>
          <w:lang w:val="fr-FR"/>
        </w:rPr>
        <w:t>greffière adjointe</w:t>
      </w:r>
      <w:r w:rsidRPr="00DA4523">
        <w:rPr>
          <w:i/>
          <w:iCs/>
          <w:lang w:val="fr-FR"/>
        </w:rPr>
        <w:t xml:space="preserve"> d</w:t>
      </w:r>
      <w:r w:rsidRPr="00DA4523">
        <w:rPr>
          <w:i/>
          <w:lang w:val="fr-FR"/>
        </w:rPr>
        <w:t>e section</w:t>
      </w:r>
      <w:r w:rsidRPr="00DA4523">
        <w:rPr>
          <w:lang w:val="fr-FR"/>
        </w:rPr>
        <w:t>,</w:t>
      </w:r>
    </w:p>
    <w:p w:rsidR="00F42BC1" w:rsidRPr="00DA4523" w:rsidRDefault="00F42BC1" w:rsidP="00DA4523">
      <w:pPr>
        <w:pStyle w:val="ECHRPara"/>
        <w:rPr>
          <w:lang w:val="fr-FR"/>
        </w:rPr>
      </w:pPr>
      <w:r w:rsidRPr="00DA4523">
        <w:rPr>
          <w:lang w:val="fr-FR"/>
        </w:rPr>
        <w:t>Vu la requête susmentionnée introduite le 2 juin 2016,</w:t>
      </w:r>
    </w:p>
    <w:p w:rsidR="00F42BC1" w:rsidRPr="00DA4523" w:rsidRDefault="00F42BC1" w:rsidP="00DA4523">
      <w:pPr>
        <w:pStyle w:val="ECHRPara"/>
        <w:rPr>
          <w:lang w:val="fr-FR"/>
        </w:rPr>
      </w:pPr>
      <w:r w:rsidRPr="00DA4523">
        <w:rPr>
          <w:lang w:val="fr-FR"/>
        </w:rPr>
        <w:t>Vu la mesure provisoire indiquée au gouvernement défendeur en vertu de l</w:t>
      </w:r>
      <w:r w:rsidR="00DA4523" w:rsidRPr="00DA4523">
        <w:rPr>
          <w:lang w:val="fr-FR"/>
        </w:rPr>
        <w:t>’</w:t>
      </w:r>
      <w:r w:rsidRPr="00DA4523">
        <w:rPr>
          <w:lang w:val="fr-FR"/>
        </w:rPr>
        <w:t>article 39 du règlement de la Cour,</w:t>
      </w:r>
    </w:p>
    <w:p w:rsidR="00F42BC1" w:rsidRPr="00DA4523" w:rsidRDefault="00F42BC1" w:rsidP="00DA4523">
      <w:pPr>
        <w:pStyle w:val="ECHRPara"/>
        <w:rPr>
          <w:lang w:val="fr-FR"/>
        </w:rPr>
      </w:pPr>
      <w:r w:rsidRPr="00DA4523">
        <w:rPr>
          <w:lang w:val="fr-FR"/>
        </w:rPr>
        <w:t>Vu les observations soumises par le gouvernement défendeur et celles présentées en réponse par la requérante,</w:t>
      </w:r>
    </w:p>
    <w:p w:rsidR="00F42BC1" w:rsidRPr="00DA4523" w:rsidRDefault="00F42BC1" w:rsidP="00DA4523">
      <w:pPr>
        <w:pStyle w:val="ECHRPara"/>
        <w:rPr>
          <w:lang w:val="fr-FR"/>
        </w:rPr>
      </w:pPr>
      <w:r w:rsidRPr="00DA4523">
        <w:rPr>
          <w:lang w:val="fr-FR"/>
        </w:rPr>
        <w:t>Après en avoir délibéré, rend la décision suivante :</w:t>
      </w:r>
    </w:p>
    <w:p w:rsidR="00F42BC1" w:rsidRPr="00DA4523" w:rsidRDefault="00F42BC1" w:rsidP="00DA4523">
      <w:pPr>
        <w:pStyle w:val="ECHRTitle1"/>
        <w:rPr>
          <w:lang w:val="fr-FR"/>
        </w:rPr>
      </w:pPr>
      <w:r w:rsidRPr="00DA4523">
        <w:rPr>
          <w:lang w:val="fr-FR"/>
        </w:rPr>
        <w:t>EN FAIT</w:t>
      </w:r>
    </w:p>
    <w:p w:rsidR="00F42BC1" w:rsidRPr="00DA4523" w:rsidRDefault="00F42BC1" w:rsidP="00DA4523">
      <w:pPr>
        <w:pStyle w:val="ECHRPara"/>
        <w:rPr>
          <w:lang w:val="fr-FR"/>
        </w:rPr>
      </w:pPr>
      <w:r w:rsidRPr="00DA4523">
        <w:rPr>
          <w:lang w:val="fr-FR"/>
        </w:rPr>
        <w:t>Le requérant, M. M.K., est un ressortissant russe né en 1984 et résidant à Udine. Le président de la section a accédé à la demande de non</w:t>
      </w:r>
      <w:r w:rsidRPr="00DA4523">
        <w:rPr>
          <w:lang w:val="fr-FR"/>
        </w:rPr>
        <w:noBreakHyphen/>
        <w:t>divulgation de son identité formulée par le requérant (article 47 § 4 du règlement). Il a été représenté devant la Cour par M</w:t>
      </w:r>
      <w:r w:rsidRPr="00DA4523">
        <w:rPr>
          <w:vertAlign w:val="superscript"/>
          <w:lang w:val="fr-FR"/>
        </w:rPr>
        <w:t>e</w:t>
      </w:r>
      <w:r w:rsidRPr="00DA4523">
        <w:rPr>
          <w:lang w:val="fr-FR"/>
        </w:rPr>
        <w:t xml:space="preserve"> O. </w:t>
      </w:r>
      <w:proofErr w:type="spellStart"/>
      <w:r w:rsidRPr="00DA4523">
        <w:rPr>
          <w:lang w:val="fr-FR"/>
        </w:rPr>
        <w:t>Fiore</w:t>
      </w:r>
      <w:proofErr w:type="spellEnd"/>
      <w:r w:rsidRPr="00DA4523">
        <w:rPr>
          <w:lang w:val="fr-FR"/>
        </w:rPr>
        <w:t>, avocat à Turin.</w:t>
      </w:r>
    </w:p>
    <w:p w:rsidR="00F42BC1" w:rsidRPr="00DA4523" w:rsidRDefault="00F42BC1" w:rsidP="00DA4523">
      <w:pPr>
        <w:pStyle w:val="ECHRPara"/>
        <w:rPr>
          <w:lang w:val="fr-FR"/>
        </w:rPr>
      </w:pPr>
      <w:r w:rsidRPr="00DA4523">
        <w:rPr>
          <w:lang w:val="fr-FR"/>
        </w:rPr>
        <w:t>Le gouvernement italien (« le Gouvernement ») a été représenté par son agent, M</w:t>
      </w:r>
      <w:r w:rsidRPr="00DA4523">
        <w:rPr>
          <w:vertAlign w:val="superscript"/>
          <w:lang w:val="fr-FR"/>
        </w:rPr>
        <w:t>me</w:t>
      </w:r>
      <w:r w:rsidRPr="00DA4523">
        <w:rPr>
          <w:lang w:val="fr-FR"/>
        </w:rPr>
        <w:t xml:space="preserve"> E. Spatafora.</w:t>
      </w:r>
    </w:p>
    <w:p w:rsidR="00F42BC1" w:rsidRPr="00DA4523" w:rsidRDefault="00F42BC1" w:rsidP="00DA4523">
      <w:pPr>
        <w:pStyle w:val="ECHRHeading2"/>
        <w:rPr>
          <w:lang w:val="fr-FR"/>
        </w:rPr>
      </w:pPr>
      <w:r w:rsidRPr="00DA4523">
        <w:rPr>
          <w:lang w:val="fr-FR"/>
        </w:rPr>
        <w:t>A.  Les circonstances de l</w:t>
      </w:r>
      <w:r w:rsidR="00DA4523" w:rsidRPr="00DA4523">
        <w:rPr>
          <w:lang w:val="fr-FR"/>
        </w:rPr>
        <w:t>’</w:t>
      </w:r>
      <w:r w:rsidRPr="00DA4523">
        <w:rPr>
          <w:lang w:val="fr-FR"/>
        </w:rPr>
        <w:t>espèce</w:t>
      </w:r>
    </w:p>
    <w:p w:rsidR="00F42BC1" w:rsidRPr="00DA4523" w:rsidRDefault="00F42BC1" w:rsidP="00DA4523">
      <w:pPr>
        <w:pStyle w:val="ECHRPara"/>
        <w:rPr>
          <w:lang w:val="fr-FR"/>
        </w:rPr>
      </w:pPr>
      <w:r w:rsidRPr="00DA4523">
        <w:rPr>
          <w:lang w:val="fr-FR"/>
        </w:rPr>
        <w:t>Les faits de la cause, tels qu</w:t>
      </w:r>
      <w:r w:rsidR="00DA4523" w:rsidRPr="00DA4523">
        <w:rPr>
          <w:lang w:val="fr-FR"/>
        </w:rPr>
        <w:t>’</w:t>
      </w:r>
      <w:r w:rsidRPr="00DA4523">
        <w:rPr>
          <w:lang w:val="fr-FR"/>
        </w:rPr>
        <w:t>ils ont été exposés par les parties, peuvent se résumer comme suit.</w:t>
      </w:r>
    </w:p>
    <w:p w:rsidR="00F42BC1" w:rsidRPr="00DA4523" w:rsidRDefault="00F42BC1" w:rsidP="00DA4523">
      <w:pPr>
        <w:pStyle w:val="ECHRHeading3"/>
        <w:rPr>
          <w:lang w:val="fr-FR"/>
        </w:rPr>
      </w:pPr>
      <w:r w:rsidRPr="00DA4523">
        <w:rPr>
          <w:lang w:val="fr-FR"/>
        </w:rPr>
        <w:lastRenderedPageBreak/>
        <w:t>1.  Récit du requérant quant aux faits survenus en Russie avant 2015</w:t>
      </w:r>
    </w:p>
    <w:p w:rsidR="00F42BC1" w:rsidRPr="00DA4523" w:rsidRDefault="00F42BC1" w:rsidP="00DA4523">
      <w:pPr>
        <w:pStyle w:val="ECHRPara"/>
        <w:rPr>
          <w:lang w:val="fr-FR"/>
        </w:rPr>
      </w:pPr>
      <w:r w:rsidRPr="00DA4523">
        <w:rPr>
          <w:lang w:val="fr-FR"/>
        </w:rPr>
        <w:t>Le requérant est un ressortissant russe d</w:t>
      </w:r>
      <w:r w:rsidR="00DA4523" w:rsidRPr="00DA4523">
        <w:rPr>
          <w:lang w:val="fr-FR"/>
        </w:rPr>
        <w:t>’</w:t>
      </w:r>
      <w:r w:rsidRPr="00DA4523">
        <w:rPr>
          <w:lang w:val="fr-FR"/>
        </w:rPr>
        <w:t xml:space="preserve">origine tchétchène. En 2008, il devint muezzin de la mosquée de </w:t>
      </w:r>
      <w:proofErr w:type="spellStart"/>
      <w:r w:rsidRPr="00DA4523">
        <w:rPr>
          <w:lang w:val="fr-FR"/>
        </w:rPr>
        <w:t>Katayama</w:t>
      </w:r>
      <w:proofErr w:type="spellEnd"/>
      <w:r w:rsidRPr="00DA4523">
        <w:rPr>
          <w:lang w:val="fr-FR"/>
        </w:rPr>
        <w:t>, à Grozny.</w:t>
      </w:r>
    </w:p>
    <w:p w:rsidR="00F42BC1" w:rsidRPr="00DA4523" w:rsidRDefault="00F42BC1" w:rsidP="00DA4523">
      <w:pPr>
        <w:pStyle w:val="ECHRPara"/>
        <w:rPr>
          <w:lang w:val="fr-FR"/>
        </w:rPr>
      </w:pPr>
      <w:r w:rsidRPr="00DA4523">
        <w:rPr>
          <w:lang w:val="fr-FR"/>
        </w:rPr>
        <w:t>Au cours du printemps de la même année, à la suite d</w:t>
      </w:r>
      <w:r w:rsidR="00DA4523" w:rsidRPr="00DA4523">
        <w:rPr>
          <w:lang w:val="fr-FR"/>
        </w:rPr>
        <w:t>’</w:t>
      </w:r>
      <w:r w:rsidRPr="00DA4523">
        <w:rPr>
          <w:lang w:val="fr-FR"/>
        </w:rPr>
        <w:t xml:space="preserve">un attentat à la bombe commis à proximité de cette mosquée et ayant entraîné le décès de sept militaires, plusieurs jeunes hommes fréquentant la mosquée, dont le requérant, furent appréhendés et torturés par les militaires russes. Le requérant quitta ensuite la ville de Grozny et se réfugia dans la région de </w:t>
      </w:r>
      <w:proofErr w:type="spellStart"/>
      <w:r w:rsidRPr="00DA4523">
        <w:rPr>
          <w:lang w:val="fr-FR"/>
        </w:rPr>
        <w:t>Kabardino-Balkaria</w:t>
      </w:r>
      <w:proofErr w:type="spellEnd"/>
      <w:r w:rsidRPr="00DA4523">
        <w:rPr>
          <w:lang w:val="fr-FR"/>
        </w:rPr>
        <w:t>.</w:t>
      </w:r>
    </w:p>
    <w:p w:rsidR="00F42BC1" w:rsidRPr="00DA4523" w:rsidRDefault="00F42BC1" w:rsidP="00DA4523">
      <w:pPr>
        <w:pStyle w:val="ECHRPara"/>
        <w:rPr>
          <w:lang w:val="fr-FR"/>
        </w:rPr>
      </w:pPr>
      <w:r w:rsidRPr="00DA4523">
        <w:rPr>
          <w:lang w:val="fr-FR"/>
        </w:rPr>
        <w:t>Quelques jours plus tard, de retour à Grozny pour les funérailles de son père, il fut arrêté par les militaires et interrogé sous la torture. Il fut relâché après trois jours grâce à l</w:t>
      </w:r>
      <w:r w:rsidR="00DA4523" w:rsidRPr="00DA4523">
        <w:rPr>
          <w:lang w:val="fr-FR"/>
        </w:rPr>
        <w:t>’</w:t>
      </w:r>
      <w:r w:rsidRPr="00DA4523">
        <w:rPr>
          <w:lang w:val="fr-FR"/>
        </w:rPr>
        <w:t>intervention de la police, qui aurait constaté l</w:t>
      </w:r>
      <w:r w:rsidR="00DA4523" w:rsidRPr="00DA4523">
        <w:rPr>
          <w:lang w:val="fr-FR"/>
        </w:rPr>
        <w:t>’</w:t>
      </w:r>
      <w:r w:rsidRPr="00DA4523">
        <w:rPr>
          <w:lang w:val="fr-FR"/>
        </w:rPr>
        <w:t>absence de sa responsabilité dans l</w:t>
      </w:r>
      <w:r w:rsidR="00DA4523" w:rsidRPr="00DA4523">
        <w:rPr>
          <w:lang w:val="fr-FR"/>
        </w:rPr>
        <w:t>’</w:t>
      </w:r>
      <w:r w:rsidRPr="00DA4523">
        <w:rPr>
          <w:lang w:val="fr-FR"/>
        </w:rPr>
        <w:t>attentat en question et classé l</w:t>
      </w:r>
      <w:r w:rsidR="00DA4523" w:rsidRPr="00DA4523">
        <w:rPr>
          <w:lang w:val="fr-FR"/>
        </w:rPr>
        <w:t>’</w:t>
      </w:r>
      <w:r w:rsidRPr="00DA4523">
        <w:rPr>
          <w:lang w:val="fr-FR"/>
        </w:rPr>
        <w:t>affaire. Les militaires proches du président tchétchène, qui auraient été persuadés de son implication dans l</w:t>
      </w:r>
      <w:r w:rsidR="00DA4523" w:rsidRPr="00DA4523">
        <w:rPr>
          <w:lang w:val="fr-FR"/>
        </w:rPr>
        <w:t>’</w:t>
      </w:r>
      <w:r w:rsidRPr="00DA4523">
        <w:rPr>
          <w:lang w:val="fr-FR"/>
        </w:rPr>
        <w:t>attentat et opposés à sa libération, avaient menacé de le retrouver pour le tuer.</w:t>
      </w:r>
    </w:p>
    <w:p w:rsidR="00F42BC1" w:rsidRPr="00DA4523" w:rsidRDefault="00F42BC1" w:rsidP="00DA4523">
      <w:pPr>
        <w:pStyle w:val="ECHRPara"/>
        <w:rPr>
          <w:lang w:val="fr-FR"/>
        </w:rPr>
      </w:pPr>
      <w:r w:rsidRPr="00DA4523">
        <w:rPr>
          <w:lang w:val="fr-FR"/>
        </w:rPr>
        <w:t xml:space="preserve">Grièvement blessé, le requérant se réfugia pendant deux semaines dans la région de </w:t>
      </w:r>
      <w:proofErr w:type="spellStart"/>
      <w:r w:rsidRPr="00DA4523">
        <w:rPr>
          <w:lang w:val="fr-FR"/>
        </w:rPr>
        <w:t>Kabardino-Balkaria</w:t>
      </w:r>
      <w:proofErr w:type="spellEnd"/>
      <w:r w:rsidRPr="00DA4523">
        <w:rPr>
          <w:lang w:val="fr-FR"/>
        </w:rPr>
        <w:t xml:space="preserve"> pour se soigner. Ensuite, craignant pour sa vie, il décida de quitter la Fédération de Russie.</w:t>
      </w:r>
    </w:p>
    <w:p w:rsidR="00F42BC1" w:rsidRPr="00DA4523" w:rsidRDefault="00F42BC1" w:rsidP="00DA4523">
      <w:pPr>
        <w:pStyle w:val="ECHRPara"/>
        <w:rPr>
          <w:lang w:val="fr-FR"/>
        </w:rPr>
      </w:pPr>
      <w:r w:rsidRPr="00DA4523">
        <w:rPr>
          <w:lang w:val="fr-FR"/>
        </w:rPr>
        <w:t>Après avoir vécu en Belgique et en Allemagne et avoir présenté sans succès des demandes d</w:t>
      </w:r>
      <w:r w:rsidR="00DA4523" w:rsidRPr="00DA4523">
        <w:rPr>
          <w:lang w:val="fr-FR"/>
        </w:rPr>
        <w:t>’</w:t>
      </w:r>
      <w:r w:rsidRPr="00DA4523">
        <w:rPr>
          <w:lang w:val="fr-FR"/>
        </w:rPr>
        <w:t>asile dans ces pays, le requérant arriva en Italie en 2015.</w:t>
      </w:r>
    </w:p>
    <w:p w:rsidR="00F42BC1" w:rsidRPr="00DA4523" w:rsidRDefault="00F42BC1" w:rsidP="00DA4523">
      <w:pPr>
        <w:pStyle w:val="ECHRHeading3"/>
        <w:rPr>
          <w:lang w:val="fr-FR"/>
        </w:rPr>
      </w:pPr>
      <w:r w:rsidRPr="00DA4523">
        <w:rPr>
          <w:lang w:val="fr-FR"/>
        </w:rPr>
        <w:t>2.  Quant aux faits survenus en Italie</w:t>
      </w:r>
    </w:p>
    <w:p w:rsidR="00F42BC1" w:rsidRPr="00DA4523" w:rsidRDefault="00F42BC1" w:rsidP="00DA4523">
      <w:pPr>
        <w:pStyle w:val="ECHRPara"/>
        <w:rPr>
          <w:lang w:val="fr-FR"/>
        </w:rPr>
      </w:pPr>
      <w:r w:rsidRPr="00DA4523">
        <w:rPr>
          <w:lang w:val="fr-FR"/>
        </w:rPr>
        <w:t>Le requérant présenta une demande d</w:t>
      </w:r>
      <w:r w:rsidR="00DA4523" w:rsidRPr="00DA4523">
        <w:rPr>
          <w:lang w:val="fr-FR"/>
        </w:rPr>
        <w:t>’</w:t>
      </w:r>
      <w:r w:rsidRPr="00DA4523">
        <w:rPr>
          <w:lang w:val="fr-FR"/>
        </w:rPr>
        <w:t>asile auprès des autorités italiennes. Le 10 avril 2015, il fut entendu par la Commission territoriale de Gorizia pour la reconnaissance de la protection internationale (</w:t>
      </w:r>
      <w:proofErr w:type="spellStart"/>
      <w:r w:rsidRPr="00DA4523">
        <w:rPr>
          <w:i/>
          <w:lang w:val="fr-FR"/>
        </w:rPr>
        <w:t>Commissione</w:t>
      </w:r>
      <w:proofErr w:type="spellEnd"/>
      <w:r w:rsidRPr="00DA4523">
        <w:rPr>
          <w:i/>
          <w:lang w:val="fr-FR"/>
        </w:rPr>
        <w:t xml:space="preserve"> Territoriale per il </w:t>
      </w:r>
      <w:proofErr w:type="spellStart"/>
      <w:r w:rsidRPr="00DA4523">
        <w:rPr>
          <w:i/>
          <w:lang w:val="fr-FR"/>
        </w:rPr>
        <w:t>Riconoscimento</w:t>
      </w:r>
      <w:proofErr w:type="spellEnd"/>
      <w:r w:rsidRPr="00DA4523">
        <w:rPr>
          <w:i/>
          <w:lang w:val="fr-FR"/>
        </w:rPr>
        <w:t xml:space="preserve"> </w:t>
      </w:r>
      <w:proofErr w:type="spellStart"/>
      <w:r w:rsidRPr="00DA4523">
        <w:rPr>
          <w:i/>
          <w:lang w:val="fr-FR"/>
        </w:rPr>
        <w:t>della</w:t>
      </w:r>
      <w:proofErr w:type="spellEnd"/>
      <w:r w:rsidRPr="00DA4523">
        <w:rPr>
          <w:i/>
          <w:lang w:val="fr-FR"/>
        </w:rPr>
        <w:t xml:space="preserve"> </w:t>
      </w:r>
      <w:proofErr w:type="spellStart"/>
      <w:r w:rsidRPr="00DA4523">
        <w:rPr>
          <w:i/>
          <w:lang w:val="fr-FR"/>
        </w:rPr>
        <w:t>Protezione</w:t>
      </w:r>
      <w:proofErr w:type="spellEnd"/>
      <w:r w:rsidRPr="00DA4523">
        <w:rPr>
          <w:i/>
          <w:lang w:val="fr-FR"/>
        </w:rPr>
        <w:t xml:space="preserve"> Internationale</w:t>
      </w:r>
      <w:r w:rsidRPr="00DA4523">
        <w:rPr>
          <w:lang w:val="fr-FR"/>
        </w:rPr>
        <w:t xml:space="preserve"> – « la commission territoriale »). Le requérant relata les faits survenus en Russie en 2008, sans cependant présenter aucun document à l</w:t>
      </w:r>
      <w:r w:rsidR="00DA4523" w:rsidRPr="00DA4523">
        <w:rPr>
          <w:lang w:val="fr-FR"/>
        </w:rPr>
        <w:t>’</w:t>
      </w:r>
      <w:r w:rsidRPr="00DA4523">
        <w:rPr>
          <w:lang w:val="fr-FR"/>
        </w:rPr>
        <w:t>appui de son récit, affirmant que toute pièce utile se trouvait en Belgique.</w:t>
      </w:r>
    </w:p>
    <w:p w:rsidR="00F42BC1" w:rsidRPr="00DA4523" w:rsidRDefault="00F42BC1" w:rsidP="00DA4523">
      <w:pPr>
        <w:pStyle w:val="ECHRPara"/>
        <w:rPr>
          <w:lang w:val="fr-FR"/>
        </w:rPr>
      </w:pPr>
      <w:r w:rsidRPr="00DA4523">
        <w:rPr>
          <w:lang w:val="fr-FR"/>
        </w:rPr>
        <w:t>Par une décision du 13 avril 2015, la commission territoriale refusa de reconnaître au requérant le statut de réfugié, mais lui octroya un permis de séjour au titre de la protection subsidiaire en vertu du décret législatif n</w:t>
      </w:r>
      <w:r w:rsidRPr="00DA4523">
        <w:rPr>
          <w:vertAlign w:val="superscript"/>
          <w:lang w:val="fr-FR"/>
        </w:rPr>
        <w:t>o</w:t>
      </w:r>
      <w:r w:rsidRPr="00DA4523">
        <w:rPr>
          <w:lang w:val="fr-FR"/>
        </w:rPr>
        <w:t> 251 de 2007, ainsi qu</w:t>
      </w:r>
      <w:r w:rsidR="00DA4523" w:rsidRPr="00DA4523">
        <w:rPr>
          <w:lang w:val="fr-FR"/>
        </w:rPr>
        <w:t>’</w:t>
      </w:r>
      <w:r w:rsidRPr="00DA4523">
        <w:rPr>
          <w:lang w:val="fr-FR"/>
        </w:rPr>
        <w:t>un titre de voyage.</w:t>
      </w:r>
    </w:p>
    <w:p w:rsidR="00F42BC1" w:rsidRPr="00DA4523" w:rsidRDefault="00F42BC1" w:rsidP="00DA4523">
      <w:pPr>
        <w:pStyle w:val="ECHRPara"/>
        <w:rPr>
          <w:lang w:val="fr-FR"/>
        </w:rPr>
      </w:pPr>
      <w:r w:rsidRPr="00DA4523">
        <w:rPr>
          <w:lang w:val="fr-FR"/>
        </w:rPr>
        <w:t>La commission territoriale estima que les déclarations du requérant paraissaient crédibles quant à la situation de dangerosité existant dans sa région de provenance. Elle considéra cependant que les faits relatés par le requérant ne justifiaient pas l</w:t>
      </w:r>
      <w:r w:rsidR="00DA4523" w:rsidRPr="00DA4523">
        <w:rPr>
          <w:lang w:val="fr-FR"/>
        </w:rPr>
        <w:t>’</w:t>
      </w:r>
      <w:r w:rsidRPr="00DA4523">
        <w:rPr>
          <w:lang w:val="fr-FR"/>
        </w:rPr>
        <w:t>octroi du statut de réfugié dans la mesure où les autorités russes auraient reconnu son absence de responsabilité dans l</w:t>
      </w:r>
      <w:r w:rsidR="00DA4523" w:rsidRPr="00DA4523">
        <w:rPr>
          <w:lang w:val="fr-FR"/>
        </w:rPr>
        <w:t>’</w:t>
      </w:r>
      <w:r w:rsidRPr="00DA4523">
        <w:rPr>
          <w:lang w:val="fr-FR"/>
        </w:rPr>
        <w:t>attentat et où le requérant n</w:t>
      </w:r>
      <w:r w:rsidR="00DA4523" w:rsidRPr="00DA4523">
        <w:rPr>
          <w:lang w:val="fr-FR"/>
        </w:rPr>
        <w:t>’</w:t>
      </w:r>
      <w:r w:rsidRPr="00DA4523">
        <w:rPr>
          <w:lang w:val="fr-FR"/>
        </w:rPr>
        <w:t>aurait pas fourni d</w:t>
      </w:r>
      <w:r w:rsidR="00DA4523" w:rsidRPr="00DA4523">
        <w:rPr>
          <w:lang w:val="fr-FR"/>
        </w:rPr>
        <w:t>’</w:t>
      </w:r>
      <w:r w:rsidRPr="00DA4523">
        <w:rPr>
          <w:lang w:val="fr-FR"/>
        </w:rPr>
        <w:t>informations quant aux développements de l</w:t>
      </w:r>
      <w:r w:rsidR="00DA4523" w:rsidRPr="00DA4523">
        <w:rPr>
          <w:lang w:val="fr-FR"/>
        </w:rPr>
        <w:t>’</w:t>
      </w:r>
      <w:r w:rsidRPr="00DA4523">
        <w:rPr>
          <w:lang w:val="fr-FR"/>
        </w:rPr>
        <w:t xml:space="preserve">affaire susceptibles de justifier ses craintes de persécutions de la part des autorités. Cela étant, elle admit que, à la lumière </w:t>
      </w:r>
      <w:r w:rsidRPr="00DA4523">
        <w:rPr>
          <w:lang w:val="fr-FR"/>
        </w:rPr>
        <w:lastRenderedPageBreak/>
        <w:t>des rapports des organisations internationales faisant état de violations systématiques des droits de l</w:t>
      </w:r>
      <w:r w:rsidR="00DA4523" w:rsidRPr="00DA4523">
        <w:rPr>
          <w:lang w:val="fr-FR"/>
        </w:rPr>
        <w:t>’</w:t>
      </w:r>
      <w:r w:rsidRPr="00DA4523">
        <w:rPr>
          <w:lang w:val="fr-FR"/>
        </w:rPr>
        <w:t>homme dans la région tchétchène, il existait des motifs de craindre que, en cas de renvoi, le requérant courait le risque, compte tenu de son profil, d</w:t>
      </w:r>
      <w:r w:rsidR="00DA4523" w:rsidRPr="00DA4523">
        <w:rPr>
          <w:lang w:val="fr-FR"/>
        </w:rPr>
        <w:t>’</w:t>
      </w:r>
      <w:r w:rsidRPr="00DA4523">
        <w:rPr>
          <w:lang w:val="fr-FR"/>
        </w:rPr>
        <w:t>être soumis à la torture ou à des traitements inhumains ou dégradants.</w:t>
      </w:r>
    </w:p>
    <w:p w:rsidR="00F42BC1" w:rsidRPr="00DA4523" w:rsidRDefault="00F42BC1" w:rsidP="00DA4523">
      <w:pPr>
        <w:pStyle w:val="ECHRPara"/>
        <w:rPr>
          <w:lang w:val="fr-FR"/>
        </w:rPr>
      </w:pPr>
      <w:r w:rsidRPr="00DA4523">
        <w:rPr>
          <w:lang w:val="fr-FR"/>
        </w:rPr>
        <w:t>Par une décision du 13 avril 2016, la commission territoriale révoqua la protection subsidiaire du requérant, au motif qu</w:t>
      </w:r>
      <w:r w:rsidR="00DA4523" w:rsidRPr="00DA4523">
        <w:rPr>
          <w:lang w:val="fr-FR"/>
        </w:rPr>
        <w:t>’</w:t>
      </w:r>
      <w:r w:rsidRPr="00DA4523">
        <w:rPr>
          <w:lang w:val="fr-FR"/>
        </w:rPr>
        <w:t>il ressortait d</w:t>
      </w:r>
      <w:r w:rsidR="00DA4523" w:rsidRPr="00DA4523">
        <w:rPr>
          <w:lang w:val="fr-FR"/>
        </w:rPr>
        <w:t>’</w:t>
      </w:r>
      <w:r w:rsidRPr="00DA4523">
        <w:rPr>
          <w:lang w:val="fr-FR"/>
        </w:rPr>
        <w:t>une note de la direction centrale de la police de prévention, datée du 5 avril 2016, que celui-ci était soupçonné d</w:t>
      </w:r>
      <w:r w:rsidR="00DA4523" w:rsidRPr="00DA4523">
        <w:rPr>
          <w:lang w:val="fr-FR"/>
        </w:rPr>
        <w:t>’</w:t>
      </w:r>
      <w:r w:rsidRPr="00DA4523">
        <w:rPr>
          <w:lang w:val="fr-FR"/>
        </w:rPr>
        <w:t>appartenir à une organisation islamiste liée à la mosquée « Al Salam » d</w:t>
      </w:r>
      <w:r w:rsidR="00DA4523" w:rsidRPr="00DA4523">
        <w:rPr>
          <w:lang w:val="fr-FR"/>
        </w:rPr>
        <w:t>’</w:t>
      </w:r>
      <w:r w:rsidRPr="00DA4523">
        <w:rPr>
          <w:lang w:val="fr-FR"/>
        </w:rPr>
        <w:t>Udine et qu</w:t>
      </w:r>
      <w:r w:rsidR="00DA4523" w:rsidRPr="00DA4523">
        <w:rPr>
          <w:lang w:val="fr-FR"/>
        </w:rPr>
        <w:t>’</w:t>
      </w:r>
      <w:r w:rsidRPr="00DA4523">
        <w:rPr>
          <w:lang w:val="fr-FR"/>
        </w:rPr>
        <w:t>il constituait une menace pour la sécurité nationale. Le texte de ladite note n</w:t>
      </w:r>
      <w:r w:rsidR="00DA4523" w:rsidRPr="00DA4523">
        <w:rPr>
          <w:lang w:val="fr-FR"/>
        </w:rPr>
        <w:t>’</w:t>
      </w:r>
      <w:r w:rsidRPr="00DA4523">
        <w:rPr>
          <w:lang w:val="fr-FR"/>
        </w:rPr>
        <w:t>a pas été communiqué.</w:t>
      </w:r>
    </w:p>
    <w:p w:rsidR="00F42BC1" w:rsidRPr="00DA4523" w:rsidRDefault="00F42BC1" w:rsidP="00DA4523">
      <w:pPr>
        <w:pStyle w:val="ECHRPara"/>
        <w:rPr>
          <w:lang w:val="fr-FR"/>
        </w:rPr>
      </w:pPr>
      <w:r w:rsidRPr="00DA4523">
        <w:rPr>
          <w:lang w:val="fr-FR"/>
        </w:rPr>
        <w:t>Par un décret daté du 12 mai 2016, le chef de la police (</w:t>
      </w:r>
      <w:proofErr w:type="spellStart"/>
      <w:r w:rsidRPr="00DA4523">
        <w:rPr>
          <w:i/>
          <w:lang w:val="fr-FR"/>
        </w:rPr>
        <w:t>questore</w:t>
      </w:r>
      <w:proofErr w:type="spellEnd"/>
      <w:r w:rsidRPr="00DA4523">
        <w:rPr>
          <w:lang w:val="fr-FR"/>
        </w:rPr>
        <w:t>) d</w:t>
      </w:r>
      <w:r w:rsidR="00DA4523" w:rsidRPr="00DA4523">
        <w:rPr>
          <w:lang w:val="fr-FR"/>
        </w:rPr>
        <w:t>’</w:t>
      </w:r>
      <w:r w:rsidRPr="00DA4523">
        <w:rPr>
          <w:lang w:val="fr-FR"/>
        </w:rPr>
        <w:t>Udine annula le permis de séjour accordé au requérant au titre de la protection subsidiaire.</w:t>
      </w:r>
    </w:p>
    <w:p w:rsidR="00F42BC1" w:rsidRPr="00DA4523" w:rsidRDefault="00F42BC1" w:rsidP="00DA4523">
      <w:pPr>
        <w:pStyle w:val="ECHRPara"/>
        <w:rPr>
          <w:lang w:val="fr-FR"/>
        </w:rPr>
      </w:pPr>
      <w:r w:rsidRPr="00DA4523">
        <w:rPr>
          <w:lang w:val="fr-FR"/>
        </w:rPr>
        <w:t>Le 27 mai 2016, le préfet de Rome adopta un décret d</w:t>
      </w:r>
      <w:r w:rsidR="00DA4523" w:rsidRPr="00DA4523">
        <w:rPr>
          <w:lang w:val="fr-FR"/>
        </w:rPr>
        <w:t>’</w:t>
      </w:r>
      <w:r w:rsidRPr="00DA4523">
        <w:rPr>
          <w:lang w:val="fr-FR"/>
        </w:rPr>
        <w:t>expulsion à l</w:t>
      </w:r>
      <w:r w:rsidR="00DA4523" w:rsidRPr="00DA4523">
        <w:rPr>
          <w:lang w:val="fr-FR"/>
        </w:rPr>
        <w:t>’</w:t>
      </w:r>
      <w:r w:rsidRPr="00DA4523">
        <w:rPr>
          <w:lang w:val="fr-FR"/>
        </w:rPr>
        <w:t>encontre du requérant. Le même jour, le chef de la police de Rome chargé de la mise en exécution dudit décret ordonna le transfert du requérant dans le centre d</w:t>
      </w:r>
      <w:r w:rsidR="00DA4523" w:rsidRPr="00DA4523">
        <w:rPr>
          <w:lang w:val="fr-FR"/>
        </w:rPr>
        <w:t>’</w:t>
      </w:r>
      <w:r w:rsidRPr="00DA4523">
        <w:rPr>
          <w:lang w:val="fr-FR"/>
        </w:rPr>
        <w:t>identification et d</w:t>
      </w:r>
      <w:r w:rsidR="00DA4523" w:rsidRPr="00DA4523">
        <w:rPr>
          <w:lang w:val="fr-FR"/>
        </w:rPr>
        <w:t>’</w:t>
      </w:r>
      <w:r w:rsidRPr="00DA4523">
        <w:rPr>
          <w:lang w:val="fr-FR"/>
        </w:rPr>
        <w:t>expulsion Brunelleschi de Turin. Le 30</w:t>
      </w:r>
      <w:r w:rsidR="001B5898" w:rsidRPr="00DA4523">
        <w:rPr>
          <w:lang w:val="fr-FR"/>
        </w:rPr>
        <w:t> </w:t>
      </w:r>
      <w:r w:rsidRPr="00DA4523">
        <w:rPr>
          <w:lang w:val="fr-FR"/>
        </w:rPr>
        <w:t>mai</w:t>
      </w:r>
      <w:r w:rsidR="001B5898" w:rsidRPr="00DA4523">
        <w:rPr>
          <w:lang w:val="fr-FR"/>
        </w:rPr>
        <w:t> </w:t>
      </w:r>
      <w:r w:rsidRPr="00DA4523">
        <w:rPr>
          <w:lang w:val="fr-FR"/>
        </w:rPr>
        <w:t>2016, le juge de paix de Turin valida le décret d</w:t>
      </w:r>
      <w:r w:rsidR="00DA4523" w:rsidRPr="00DA4523">
        <w:rPr>
          <w:lang w:val="fr-FR"/>
        </w:rPr>
        <w:t>’</w:t>
      </w:r>
      <w:r w:rsidRPr="00DA4523">
        <w:rPr>
          <w:lang w:val="fr-FR"/>
        </w:rPr>
        <w:t>expulsion.</w:t>
      </w:r>
    </w:p>
    <w:p w:rsidR="00F42BC1" w:rsidRPr="00DA4523" w:rsidRDefault="00F42BC1" w:rsidP="00DA4523">
      <w:pPr>
        <w:pStyle w:val="ECHRPara"/>
        <w:rPr>
          <w:lang w:val="fr-FR"/>
        </w:rPr>
      </w:pPr>
      <w:r w:rsidRPr="00DA4523">
        <w:rPr>
          <w:lang w:val="fr-FR"/>
        </w:rPr>
        <w:t>Le 2 juin 2016, le requérant saisit la Cour d</w:t>
      </w:r>
      <w:r w:rsidR="00DA4523" w:rsidRPr="00DA4523">
        <w:rPr>
          <w:lang w:val="fr-FR"/>
        </w:rPr>
        <w:t>’</w:t>
      </w:r>
      <w:r w:rsidRPr="00DA4523">
        <w:rPr>
          <w:lang w:val="fr-FR"/>
        </w:rPr>
        <w:t>une demande de mesure provisoire sur le fondement de l</w:t>
      </w:r>
      <w:r w:rsidR="00DA4523" w:rsidRPr="00DA4523">
        <w:rPr>
          <w:lang w:val="fr-FR"/>
        </w:rPr>
        <w:t>’</w:t>
      </w:r>
      <w:r w:rsidRPr="00DA4523">
        <w:rPr>
          <w:lang w:val="fr-FR"/>
        </w:rPr>
        <w:t>article 39 de son règlement. Le même jour, le juge de permanence fit savoir au gouvernement italien, en application de la disposition précitée, qu</w:t>
      </w:r>
      <w:r w:rsidR="00DA4523" w:rsidRPr="00DA4523">
        <w:rPr>
          <w:lang w:val="fr-FR"/>
        </w:rPr>
        <w:t>’</w:t>
      </w:r>
      <w:r w:rsidRPr="00DA4523">
        <w:rPr>
          <w:lang w:val="fr-FR"/>
        </w:rPr>
        <w:t>il était souhaitable qu</w:t>
      </w:r>
      <w:r w:rsidR="00DA4523" w:rsidRPr="00DA4523">
        <w:rPr>
          <w:lang w:val="fr-FR"/>
        </w:rPr>
        <w:t>’</w:t>
      </w:r>
      <w:r w:rsidRPr="00DA4523">
        <w:rPr>
          <w:lang w:val="fr-FR"/>
        </w:rPr>
        <w:t>il ne renvoyât pas le requérant vers la Fédération de Russie avant l</w:t>
      </w:r>
      <w:r w:rsidR="00DA4523" w:rsidRPr="00DA4523">
        <w:rPr>
          <w:lang w:val="fr-FR"/>
        </w:rPr>
        <w:t>’</w:t>
      </w:r>
      <w:r w:rsidRPr="00DA4523">
        <w:rPr>
          <w:lang w:val="fr-FR"/>
        </w:rPr>
        <w:t>issue de la procédure devant la Cour.</w:t>
      </w:r>
    </w:p>
    <w:p w:rsidR="00F42BC1" w:rsidRPr="00DA4523" w:rsidRDefault="00F42BC1" w:rsidP="00DA4523">
      <w:pPr>
        <w:pStyle w:val="ECHRPara"/>
        <w:rPr>
          <w:lang w:val="fr-FR"/>
        </w:rPr>
      </w:pPr>
      <w:r w:rsidRPr="00DA4523">
        <w:rPr>
          <w:lang w:val="fr-FR"/>
        </w:rPr>
        <w:t>Le 8 juin 2016, le requérant forma un recours devant le tribunal de Turin contre la décision du 13 avril 2016 par laquelle la commission territoriale avait révoqué à son égard la mesure de protection subsidiaire.</w:t>
      </w:r>
    </w:p>
    <w:p w:rsidR="00F42BC1" w:rsidRPr="00DA4523" w:rsidRDefault="00F42BC1" w:rsidP="00DA4523">
      <w:pPr>
        <w:pStyle w:val="ECHRPara"/>
        <w:rPr>
          <w:lang w:val="fr-FR"/>
        </w:rPr>
      </w:pPr>
      <w:r w:rsidRPr="00DA4523">
        <w:rPr>
          <w:lang w:val="fr-FR"/>
        </w:rPr>
        <w:t>Entre-temps, le requérant avait attaqué également la décision de rétention dans le centre d</w:t>
      </w:r>
      <w:r w:rsidR="00DA4523" w:rsidRPr="00DA4523">
        <w:rPr>
          <w:lang w:val="fr-FR"/>
        </w:rPr>
        <w:t>’</w:t>
      </w:r>
      <w:r w:rsidRPr="00DA4523">
        <w:rPr>
          <w:lang w:val="fr-FR"/>
        </w:rPr>
        <w:t>identification et d</w:t>
      </w:r>
      <w:r w:rsidR="00DA4523" w:rsidRPr="00DA4523">
        <w:rPr>
          <w:lang w:val="fr-FR"/>
        </w:rPr>
        <w:t>’</w:t>
      </w:r>
      <w:r w:rsidRPr="00DA4523">
        <w:rPr>
          <w:lang w:val="fr-FR"/>
        </w:rPr>
        <w:t>expulsion prise à son égard. Le 13</w:t>
      </w:r>
      <w:r w:rsidR="001B5898" w:rsidRPr="00DA4523">
        <w:rPr>
          <w:lang w:val="fr-FR"/>
        </w:rPr>
        <w:t> </w:t>
      </w:r>
      <w:r w:rsidRPr="00DA4523">
        <w:rPr>
          <w:lang w:val="fr-FR"/>
        </w:rPr>
        <w:t>juin</w:t>
      </w:r>
      <w:r w:rsidR="001B5898" w:rsidRPr="00DA4523">
        <w:rPr>
          <w:lang w:val="fr-FR"/>
        </w:rPr>
        <w:t> </w:t>
      </w:r>
      <w:r w:rsidRPr="00DA4523">
        <w:rPr>
          <w:lang w:val="fr-FR"/>
        </w:rPr>
        <w:t>2016, le tribunal fit droit à ce recours et ordonna la libération du requérant.</w:t>
      </w:r>
    </w:p>
    <w:p w:rsidR="00F42BC1" w:rsidRPr="00DA4523" w:rsidRDefault="00F42BC1" w:rsidP="00DA4523">
      <w:pPr>
        <w:pStyle w:val="ECHRPara"/>
        <w:rPr>
          <w:lang w:val="fr-FR"/>
        </w:rPr>
      </w:pPr>
      <w:r w:rsidRPr="00DA4523">
        <w:rPr>
          <w:lang w:val="fr-FR"/>
        </w:rPr>
        <w:t>Le 14 juin 2016, le chef de la police appliqua au requérant des mesures alternatives à la rétention, à savoir l</w:t>
      </w:r>
      <w:r w:rsidR="00DA4523" w:rsidRPr="00DA4523">
        <w:rPr>
          <w:lang w:val="fr-FR"/>
        </w:rPr>
        <w:t>’</w:t>
      </w:r>
      <w:r w:rsidRPr="00DA4523">
        <w:rPr>
          <w:lang w:val="fr-FR"/>
        </w:rPr>
        <w:t>obligation de résider dans la ville d</w:t>
      </w:r>
      <w:r w:rsidR="00DA4523" w:rsidRPr="00DA4523">
        <w:rPr>
          <w:lang w:val="fr-FR"/>
        </w:rPr>
        <w:t>’</w:t>
      </w:r>
      <w:r w:rsidRPr="00DA4523">
        <w:rPr>
          <w:lang w:val="fr-FR"/>
        </w:rPr>
        <w:t>Udine et de se présenter tous les jours au bureau de police, et la restitution de son passeport.</w:t>
      </w:r>
    </w:p>
    <w:p w:rsidR="00F42BC1" w:rsidRPr="00DA4523" w:rsidRDefault="00F42BC1" w:rsidP="00DA4523">
      <w:pPr>
        <w:pStyle w:val="ECHRPara"/>
        <w:rPr>
          <w:lang w:val="fr-FR"/>
        </w:rPr>
      </w:pPr>
      <w:r w:rsidRPr="00DA4523">
        <w:rPr>
          <w:rFonts w:cstheme="minorHAnsi"/>
          <w:lang w:val="fr-FR"/>
        </w:rPr>
        <w:t>Le 23 juin 2016</w:t>
      </w:r>
      <w:r w:rsidRPr="00DA4523">
        <w:rPr>
          <w:lang w:val="fr-FR"/>
        </w:rPr>
        <w:t>, le requérant forma également un recours contre le décret d</w:t>
      </w:r>
      <w:r w:rsidR="00DA4523" w:rsidRPr="00DA4523">
        <w:rPr>
          <w:lang w:val="fr-FR"/>
        </w:rPr>
        <w:t>’</w:t>
      </w:r>
      <w:r w:rsidRPr="00DA4523">
        <w:rPr>
          <w:lang w:val="fr-FR"/>
        </w:rPr>
        <w:t>expulsion du 27</w:t>
      </w:r>
      <w:r w:rsidR="004A196F" w:rsidRPr="00DA4523">
        <w:rPr>
          <w:lang w:val="fr-FR"/>
        </w:rPr>
        <w:t xml:space="preserve"> </w:t>
      </w:r>
      <w:r w:rsidRPr="00DA4523">
        <w:rPr>
          <w:lang w:val="fr-FR"/>
        </w:rPr>
        <w:t>mai 2016. Le 7 novembre 2016, le juge de paix de Rome reporta le traitement de l</w:t>
      </w:r>
      <w:r w:rsidR="00DA4523" w:rsidRPr="00DA4523">
        <w:rPr>
          <w:lang w:val="fr-FR"/>
        </w:rPr>
        <w:t>’</w:t>
      </w:r>
      <w:r w:rsidRPr="00DA4523">
        <w:rPr>
          <w:lang w:val="fr-FR"/>
        </w:rPr>
        <w:t>affaire au 3 avril 2017 puis au 25 septembre</w:t>
      </w:r>
      <w:r w:rsidR="001B5898" w:rsidRPr="00DA4523">
        <w:rPr>
          <w:lang w:val="fr-FR"/>
        </w:rPr>
        <w:t> </w:t>
      </w:r>
      <w:r w:rsidRPr="00DA4523">
        <w:rPr>
          <w:lang w:val="fr-FR"/>
        </w:rPr>
        <w:t>2017, dans l</w:t>
      </w:r>
      <w:r w:rsidR="00DA4523" w:rsidRPr="00DA4523">
        <w:rPr>
          <w:lang w:val="fr-FR"/>
        </w:rPr>
        <w:t>’</w:t>
      </w:r>
      <w:r w:rsidRPr="00DA4523">
        <w:rPr>
          <w:lang w:val="fr-FR"/>
        </w:rPr>
        <w:t>attente de l</w:t>
      </w:r>
      <w:r w:rsidR="00DA4523" w:rsidRPr="00DA4523">
        <w:rPr>
          <w:lang w:val="fr-FR"/>
        </w:rPr>
        <w:t>’</w:t>
      </w:r>
      <w:r w:rsidRPr="00DA4523">
        <w:rPr>
          <w:lang w:val="fr-FR"/>
        </w:rPr>
        <w:t>issue de la requête introduite par le requérant devant la Cour.</w:t>
      </w:r>
    </w:p>
    <w:p w:rsidR="00F42BC1" w:rsidRPr="00DA4523" w:rsidRDefault="00F42BC1" w:rsidP="00DA4523">
      <w:pPr>
        <w:pStyle w:val="ECHRHeading3"/>
        <w:rPr>
          <w:lang w:val="fr-FR"/>
        </w:rPr>
      </w:pPr>
      <w:r w:rsidRPr="00DA4523">
        <w:rPr>
          <w:lang w:val="fr-FR"/>
        </w:rPr>
        <w:lastRenderedPageBreak/>
        <w:t>3.  Quant aux faits survenus après la communication de la requête</w:t>
      </w:r>
    </w:p>
    <w:p w:rsidR="00F42BC1" w:rsidRPr="00DA4523" w:rsidRDefault="00F42BC1" w:rsidP="00DA4523">
      <w:pPr>
        <w:pStyle w:val="ECHRPara"/>
        <w:rPr>
          <w:lang w:val="fr-FR"/>
        </w:rPr>
      </w:pPr>
      <w:r w:rsidRPr="00DA4523">
        <w:rPr>
          <w:lang w:val="fr-FR"/>
        </w:rPr>
        <w:t>Par une décision du 19 septembre 2017, le tribunal de Turin accueillit le recours introduit par le requérant à l</w:t>
      </w:r>
      <w:r w:rsidR="00DA4523" w:rsidRPr="00DA4523">
        <w:rPr>
          <w:lang w:val="fr-FR"/>
        </w:rPr>
        <w:t>’</w:t>
      </w:r>
      <w:r w:rsidRPr="00DA4523">
        <w:rPr>
          <w:lang w:val="fr-FR"/>
        </w:rPr>
        <w:t>encontre de la décision de révoquer la protection subsidiaire. Il estima tout d</w:t>
      </w:r>
      <w:r w:rsidR="00DA4523" w:rsidRPr="00DA4523">
        <w:rPr>
          <w:lang w:val="fr-FR"/>
        </w:rPr>
        <w:t>’</w:t>
      </w:r>
      <w:r w:rsidRPr="00DA4523">
        <w:rPr>
          <w:lang w:val="fr-FR"/>
        </w:rPr>
        <w:t>abord que la commission territoriale avait omis d</w:t>
      </w:r>
      <w:r w:rsidR="00DA4523" w:rsidRPr="00DA4523">
        <w:rPr>
          <w:lang w:val="fr-FR"/>
        </w:rPr>
        <w:t>’</w:t>
      </w:r>
      <w:r w:rsidRPr="00DA4523">
        <w:rPr>
          <w:lang w:val="fr-FR"/>
        </w:rPr>
        <w:t>apprécier de manière autonome et approfondie les informations transmises par la Direction centrale de la police de prévention avant de statuer sur la protection subsidiaire du requérant. Par ailleurs, lesdites informations ne permettaient pas de considérer que le requérant constituait une menace pour la sécurité nationale. En conséquence, le tribunal annula la décision de la commission territoriale du 13 avril 2016 et affirma que le requérant avait droit au bénéfice de la protection internationale subsidiaire.</w:t>
      </w:r>
    </w:p>
    <w:p w:rsidR="00F42BC1" w:rsidRPr="00DA4523" w:rsidRDefault="00F42BC1" w:rsidP="00DA4523">
      <w:pPr>
        <w:pStyle w:val="ECHRPara"/>
        <w:rPr>
          <w:lang w:val="fr-FR"/>
        </w:rPr>
      </w:pPr>
      <w:r w:rsidRPr="00DA4523">
        <w:rPr>
          <w:lang w:val="fr-FR"/>
        </w:rPr>
        <w:t>Le ministère de l</w:t>
      </w:r>
      <w:r w:rsidR="00DA4523" w:rsidRPr="00DA4523">
        <w:rPr>
          <w:lang w:val="fr-FR"/>
        </w:rPr>
        <w:t>’</w:t>
      </w:r>
      <w:r w:rsidRPr="00DA4523">
        <w:rPr>
          <w:lang w:val="fr-FR"/>
        </w:rPr>
        <w:t>Intérieur ayant interjeté appel de cette décision, la procédure est actuellement pendante devant la cour d</w:t>
      </w:r>
      <w:r w:rsidR="00DA4523" w:rsidRPr="00DA4523">
        <w:rPr>
          <w:lang w:val="fr-FR"/>
        </w:rPr>
        <w:t>’</w:t>
      </w:r>
      <w:r w:rsidRPr="00DA4523">
        <w:rPr>
          <w:lang w:val="fr-FR"/>
        </w:rPr>
        <w:t>appel de Turin.</w:t>
      </w:r>
    </w:p>
    <w:p w:rsidR="00F42BC1" w:rsidRPr="00DA4523" w:rsidRDefault="00F42BC1" w:rsidP="00DA4523">
      <w:pPr>
        <w:pStyle w:val="ECHRPara"/>
        <w:rPr>
          <w:lang w:val="fr-FR"/>
        </w:rPr>
      </w:pPr>
      <w:r w:rsidRPr="00DA4523">
        <w:rPr>
          <w:lang w:val="fr-FR"/>
        </w:rPr>
        <w:t>Le 24 octobre 2017, le juge de Paix de Rome, ayant pris acte de ladite décision du tribunal de Turin, fit droit au recours du requérant du 23</w:t>
      </w:r>
      <w:r w:rsidR="001B5898" w:rsidRPr="00DA4523">
        <w:rPr>
          <w:lang w:val="fr-FR"/>
        </w:rPr>
        <w:t> </w:t>
      </w:r>
      <w:r w:rsidRPr="00DA4523">
        <w:rPr>
          <w:lang w:val="fr-FR"/>
        </w:rPr>
        <w:t>juin</w:t>
      </w:r>
      <w:r w:rsidR="001B5898" w:rsidRPr="00DA4523">
        <w:rPr>
          <w:lang w:val="fr-FR"/>
        </w:rPr>
        <w:t> </w:t>
      </w:r>
      <w:r w:rsidRPr="00DA4523">
        <w:rPr>
          <w:lang w:val="fr-FR"/>
        </w:rPr>
        <w:t>2016 et annula le décret d</w:t>
      </w:r>
      <w:r w:rsidR="00DA4523" w:rsidRPr="00DA4523">
        <w:rPr>
          <w:lang w:val="fr-FR"/>
        </w:rPr>
        <w:t>’</w:t>
      </w:r>
      <w:r w:rsidRPr="00DA4523">
        <w:rPr>
          <w:lang w:val="fr-FR"/>
        </w:rPr>
        <w:t>expulsion à son encontre.</w:t>
      </w:r>
    </w:p>
    <w:p w:rsidR="00F42BC1" w:rsidRPr="00DA4523" w:rsidRDefault="00F42BC1" w:rsidP="00DA4523">
      <w:pPr>
        <w:pStyle w:val="ECHRHeading2"/>
        <w:rPr>
          <w:lang w:val="fr-FR"/>
        </w:rPr>
      </w:pPr>
      <w:r w:rsidRPr="00DA4523">
        <w:rPr>
          <w:lang w:val="fr-FR"/>
        </w:rPr>
        <w:t>B.  Le droit interne pertinent</w:t>
      </w:r>
    </w:p>
    <w:p w:rsidR="00F42BC1" w:rsidRPr="00DA4523" w:rsidRDefault="00F42BC1" w:rsidP="00DA4523">
      <w:pPr>
        <w:pStyle w:val="ECHRPara"/>
        <w:rPr>
          <w:lang w:val="fr-FR"/>
        </w:rPr>
      </w:pPr>
      <w:r w:rsidRPr="00DA4523">
        <w:rPr>
          <w:lang w:val="fr-FR"/>
        </w:rPr>
        <w:t>Selon l</w:t>
      </w:r>
      <w:r w:rsidR="00DA4523" w:rsidRPr="00DA4523">
        <w:rPr>
          <w:lang w:val="fr-FR"/>
        </w:rPr>
        <w:t>’</w:t>
      </w:r>
      <w:r w:rsidRPr="00DA4523">
        <w:rPr>
          <w:lang w:val="fr-FR"/>
        </w:rPr>
        <w:t>article 13 du décret législatif n</w:t>
      </w:r>
      <w:r w:rsidRPr="00DA4523">
        <w:rPr>
          <w:vertAlign w:val="superscript"/>
          <w:lang w:val="fr-FR"/>
        </w:rPr>
        <w:t>o</w:t>
      </w:r>
      <w:r w:rsidRPr="00DA4523">
        <w:rPr>
          <w:lang w:val="fr-FR"/>
        </w:rPr>
        <w:t xml:space="preserve"> 286 de 1998, le décret d</w:t>
      </w:r>
      <w:r w:rsidR="00DA4523" w:rsidRPr="00DA4523">
        <w:rPr>
          <w:lang w:val="fr-FR"/>
        </w:rPr>
        <w:t>’</w:t>
      </w:r>
      <w:r w:rsidRPr="00DA4523">
        <w:rPr>
          <w:lang w:val="fr-FR"/>
        </w:rPr>
        <w:t>expulsion peut être attaqué devant le juge de paix dans un délai de trente jours à compter de la notification du décret. L</w:t>
      </w:r>
      <w:r w:rsidR="00DA4523" w:rsidRPr="00DA4523">
        <w:rPr>
          <w:lang w:val="fr-FR"/>
        </w:rPr>
        <w:t>’</w:t>
      </w:r>
      <w:r w:rsidRPr="00DA4523">
        <w:rPr>
          <w:lang w:val="fr-FR"/>
        </w:rPr>
        <w:t>introduction du recours ne suspend pas l</w:t>
      </w:r>
      <w:r w:rsidR="00DA4523" w:rsidRPr="00DA4523">
        <w:rPr>
          <w:lang w:val="fr-FR"/>
        </w:rPr>
        <w:t>’</w:t>
      </w:r>
      <w:r w:rsidRPr="00DA4523">
        <w:rPr>
          <w:lang w:val="fr-FR"/>
        </w:rPr>
        <w:t>exécution du décret d</w:t>
      </w:r>
      <w:r w:rsidR="00DA4523" w:rsidRPr="00DA4523">
        <w:rPr>
          <w:lang w:val="fr-FR"/>
        </w:rPr>
        <w:t>’</w:t>
      </w:r>
      <w:r w:rsidRPr="00DA4523">
        <w:rPr>
          <w:lang w:val="fr-FR"/>
        </w:rPr>
        <w:t>expulsion.</w:t>
      </w:r>
    </w:p>
    <w:p w:rsidR="00F42BC1" w:rsidRPr="00DA4523" w:rsidRDefault="00F42BC1" w:rsidP="00DA4523">
      <w:pPr>
        <w:pStyle w:val="ECHRPara"/>
        <w:rPr>
          <w:lang w:val="fr-FR"/>
        </w:rPr>
      </w:pPr>
      <w:r w:rsidRPr="00DA4523">
        <w:rPr>
          <w:lang w:val="fr-FR"/>
        </w:rPr>
        <w:t>La décision du juge de paix n</w:t>
      </w:r>
      <w:r w:rsidR="00DA4523" w:rsidRPr="00DA4523">
        <w:rPr>
          <w:lang w:val="fr-FR"/>
        </w:rPr>
        <w:t>’</w:t>
      </w:r>
      <w:r w:rsidRPr="00DA4523">
        <w:rPr>
          <w:lang w:val="fr-FR"/>
        </w:rPr>
        <w:t>est pas susceptible d</w:t>
      </w:r>
      <w:r w:rsidR="00DA4523" w:rsidRPr="00DA4523">
        <w:rPr>
          <w:lang w:val="fr-FR"/>
        </w:rPr>
        <w:t>’</w:t>
      </w:r>
      <w:r w:rsidRPr="00DA4523">
        <w:rPr>
          <w:lang w:val="fr-FR"/>
        </w:rPr>
        <w:t>appel.</w:t>
      </w:r>
    </w:p>
    <w:p w:rsidR="00F42BC1" w:rsidRPr="00DA4523" w:rsidRDefault="00F42BC1" w:rsidP="00DA4523">
      <w:pPr>
        <w:pStyle w:val="ECHRTitle1"/>
        <w:rPr>
          <w:lang w:val="fr-FR"/>
        </w:rPr>
      </w:pPr>
      <w:r w:rsidRPr="00DA4523">
        <w:rPr>
          <w:lang w:val="fr-FR"/>
        </w:rPr>
        <w:t>GRIEF</w:t>
      </w:r>
    </w:p>
    <w:p w:rsidR="00F42BC1" w:rsidRPr="00DA4523" w:rsidRDefault="00F42BC1" w:rsidP="00DA4523">
      <w:pPr>
        <w:pStyle w:val="ECHRPara"/>
        <w:rPr>
          <w:lang w:val="fr-FR"/>
        </w:rPr>
      </w:pPr>
      <w:r w:rsidRPr="00DA4523">
        <w:rPr>
          <w:lang w:val="fr-FR"/>
        </w:rPr>
        <w:t>Le requérant allègue que son renvoi en Russie l</w:t>
      </w:r>
      <w:r w:rsidR="00DA4523" w:rsidRPr="00DA4523">
        <w:rPr>
          <w:lang w:val="fr-FR"/>
        </w:rPr>
        <w:t>’</w:t>
      </w:r>
      <w:r w:rsidRPr="00DA4523">
        <w:rPr>
          <w:lang w:val="fr-FR"/>
        </w:rPr>
        <w:t>exposerait au risque de se voir infliger des traitements contraires à l</w:t>
      </w:r>
      <w:r w:rsidR="00DA4523" w:rsidRPr="00DA4523">
        <w:rPr>
          <w:lang w:val="fr-FR"/>
        </w:rPr>
        <w:t>’</w:t>
      </w:r>
      <w:r w:rsidRPr="00DA4523">
        <w:rPr>
          <w:lang w:val="fr-FR"/>
        </w:rPr>
        <w:t>article 3 de la Convention Invoquant l</w:t>
      </w:r>
      <w:r w:rsidR="00DA4523" w:rsidRPr="00DA4523">
        <w:rPr>
          <w:lang w:val="fr-FR"/>
        </w:rPr>
        <w:t>’</w:t>
      </w:r>
      <w:r w:rsidRPr="00DA4523">
        <w:rPr>
          <w:lang w:val="fr-FR"/>
        </w:rPr>
        <w:t>article 3 de la Convention.</w:t>
      </w:r>
    </w:p>
    <w:p w:rsidR="00F42BC1" w:rsidRPr="00DA4523" w:rsidRDefault="00F42BC1" w:rsidP="00DA4523">
      <w:pPr>
        <w:pStyle w:val="ECHRTitle1"/>
        <w:rPr>
          <w:lang w:val="fr-FR"/>
        </w:rPr>
      </w:pPr>
      <w:r w:rsidRPr="00DA4523">
        <w:rPr>
          <w:lang w:val="fr-FR"/>
        </w:rPr>
        <w:t>EN DROIT</w:t>
      </w:r>
    </w:p>
    <w:p w:rsidR="00F42BC1" w:rsidRPr="00DA4523" w:rsidRDefault="00F42BC1" w:rsidP="00DA4523">
      <w:pPr>
        <w:pStyle w:val="ECHRPara"/>
        <w:rPr>
          <w:lang w:val="fr-FR"/>
        </w:rPr>
      </w:pPr>
      <w:r w:rsidRPr="00DA4523">
        <w:rPr>
          <w:lang w:val="fr-FR"/>
        </w:rPr>
        <w:t>À titre préliminaire, la Cour doit rechercher si les faits nouveaux portés à sa connaissance après la communication de la requête ne doivent pas l</w:t>
      </w:r>
      <w:r w:rsidR="00DA4523" w:rsidRPr="00DA4523">
        <w:rPr>
          <w:lang w:val="fr-FR"/>
        </w:rPr>
        <w:t>’</w:t>
      </w:r>
      <w:r w:rsidRPr="00DA4523">
        <w:rPr>
          <w:lang w:val="fr-FR"/>
        </w:rPr>
        <w:t>amener à conclure que le litige est désormais résolu ou qu</w:t>
      </w:r>
      <w:r w:rsidR="00DA4523" w:rsidRPr="00DA4523">
        <w:rPr>
          <w:lang w:val="fr-FR"/>
        </w:rPr>
        <w:t>’</w:t>
      </w:r>
      <w:r w:rsidRPr="00DA4523">
        <w:rPr>
          <w:lang w:val="fr-FR"/>
        </w:rPr>
        <w:t>il ne se justifie plus de poursuivre l</w:t>
      </w:r>
      <w:r w:rsidR="00DA4523" w:rsidRPr="00DA4523">
        <w:rPr>
          <w:lang w:val="fr-FR"/>
        </w:rPr>
        <w:t>’</w:t>
      </w:r>
      <w:r w:rsidRPr="00DA4523">
        <w:rPr>
          <w:lang w:val="fr-FR"/>
        </w:rPr>
        <w:t>examen de la requête pour un autre motif et que, dès lors, la requête peut être rayée du rôle de la Cour en application de l</w:t>
      </w:r>
      <w:r w:rsidR="00DA4523" w:rsidRPr="00DA4523">
        <w:rPr>
          <w:lang w:val="fr-FR"/>
        </w:rPr>
        <w:t>’</w:t>
      </w:r>
      <w:r w:rsidRPr="00DA4523">
        <w:rPr>
          <w:lang w:val="fr-FR"/>
        </w:rPr>
        <w:t>article</w:t>
      </w:r>
      <w:r w:rsidR="001B5898" w:rsidRPr="00DA4523">
        <w:rPr>
          <w:lang w:val="fr-FR"/>
        </w:rPr>
        <w:t> </w:t>
      </w:r>
      <w:r w:rsidRPr="00DA4523">
        <w:rPr>
          <w:lang w:val="fr-FR"/>
        </w:rPr>
        <w:t>37</w:t>
      </w:r>
      <w:r w:rsidR="001B5898" w:rsidRPr="00DA4523">
        <w:rPr>
          <w:lang w:val="fr-FR"/>
        </w:rPr>
        <w:t> </w:t>
      </w:r>
      <w:r w:rsidRPr="00DA4523">
        <w:rPr>
          <w:lang w:val="fr-FR"/>
        </w:rPr>
        <w:t>§</w:t>
      </w:r>
      <w:r w:rsidR="001B5898" w:rsidRPr="00DA4523">
        <w:rPr>
          <w:lang w:val="fr-FR"/>
        </w:rPr>
        <w:t> </w:t>
      </w:r>
      <w:r w:rsidRPr="00DA4523">
        <w:rPr>
          <w:lang w:val="fr-FR"/>
        </w:rPr>
        <w:t xml:space="preserve">1 de la Convention (voir </w:t>
      </w:r>
      <w:r w:rsidRPr="00DA4523">
        <w:rPr>
          <w:i/>
          <w:lang w:val="fr-FR"/>
        </w:rPr>
        <w:t>Khan c. Allemagne</w:t>
      </w:r>
      <w:r w:rsidRPr="00DA4523">
        <w:rPr>
          <w:lang w:val="fr-FR"/>
        </w:rPr>
        <w:t xml:space="preserve"> [GC], </w:t>
      </w:r>
      <w:r w:rsidRPr="00DA4523">
        <w:rPr>
          <w:lang w:val="fr-FR"/>
        </w:rPr>
        <w:lastRenderedPageBreak/>
        <w:t>n</w:t>
      </w:r>
      <w:r w:rsidRPr="00DA4523">
        <w:rPr>
          <w:vertAlign w:val="superscript"/>
          <w:lang w:val="fr-FR"/>
        </w:rPr>
        <w:t>o</w:t>
      </w:r>
      <w:r w:rsidR="001B5898" w:rsidRPr="00DA4523">
        <w:rPr>
          <w:vertAlign w:val="superscript"/>
          <w:lang w:val="fr-FR"/>
        </w:rPr>
        <w:t> </w:t>
      </w:r>
      <w:r w:rsidRPr="00DA4523">
        <w:rPr>
          <w:lang w:val="fr-FR"/>
        </w:rPr>
        <w:t>38030/12, §§ 31 à 42, 21 septembre 2016). Cette disposition est libellée comme suit :</w:t>
      </w:r>
    </w:p>
    <w:p w:rsidR="00F42BC1" w:rsidRPr="00DA4523" w:rsidRDefault="00F42BC1" w:rsidP="00DA4523">
      <w:pPr>
        <w:pStyle w:val="ECHRParaQuote"/>
        <w:rPr>
          <w:lang w:val="fr-FR"/>
        </w:rPr>
      </w:pPr>
      <w:r w:rsidRPr="00DA4523">
        <w:rPr>
          <w:lang w:val="fr-FR"/>
        </w:rPr>
        <w:t>«</w:t>
      </w:r>
      <w:r w:rsidR="004A196F" w:rsidRPr="00DA4523">
        <w:rPr>
          <w:lang w:val="fr-FR"/>
        </w:rPr>
        <w:t> </w:t>
      </w:r>
      <w:r w:rsidRPr="00DA4523">
        <w:rPr>
          <w:lang w:val="fr-FR"/>
        </w:rPr>
        <w:t>À tout moment de la procédure, la Cour peut décider de rayer une requête du rôle lorsque les circonstances permettent de conclure</w:t>
      </w:r>
      <w:r w:rsidR="004A196F" w:rsidRPr="00DA4523">
        <w:rPr>
          <w:lang w:val="fr-FR"/>
        </w:rPr>
        <w:t> </w:t>
      </w:r>
      <w:r w:rsidRPr="00DA4523">
        <w:rPr>
          <w:lang w:val="fr-FR"/>
        </w:rPr>
        <w:t>:</w:t>
      </w:r>
    </w:p>
    <w:p w:rsidR="00F42BC1" w:rsidRPr="00DA4523" w:rsidRDefault="00F42BC1" w:rsidP="00DA4523">
      <w:pPr>
        <w:pStyle w:val="ECHRParaQuote"/>
        <w:rPr>
          <w:lang w:val="fr-FR"/>
        </w:rPr>
      </w:pPr>
      <w:r w:rsidRPr="00DA4523">
        <w:rPr>
          <w:lang w:val="fr-FR"/>
        </w:rPr>
        <w:t>a) que le requérant n</w:t>
      </w:r>
      <w:r w:rsidR="00DA4523" w:rsidRPr="00DA4523">
        <w:rPr>
          <w:lang w:val="fr-FR"/>
        </w:rPr>
        <w:t>’</w:t>
      </w:r>
      <w:r w:rsidRPr="00DA4523">
        <w:rPr>
          <w:lang w:val="fr-FR"/>
        </w:rPr>
        <w:t>entend plus la maintenir</w:t>
      </w:r>
      <w:r w:rsidR="004A196F" w:rsidRPr="00DA4523">
        <w:rPr>
          <w:lang w:val="fr-FR"/>
        </w:rPr>
        <w:t> </w:t>
      </w:r>
      <w:r w:rsidRPr="00DA4523">
        <w:rPr>
          <w:lang w:val="fr-FR"/>
        </w:rPr>
        <w:t>; ou</w:t>
      </w:r>
    </w:p>
    <w:p w:rsidR="00F42BC1" w:rsidRPr="00DA4523" w:rsidRDefault="00F42BC1" w:rsidP="00DA4523">
      <w:pPr>
        <w:pStyle w:val="ECHRParaQuote"/>
        <w:rPr>
          <w:lang w:val="fr-FR"/>
        </w:rPr>
      </w:pPr>
      <w:r w:rsidRPr="00DA4523">
        <w:rPr>
          <w:lang w:val="fr-FR"/>
        </w:rPr>
        <w:t>b) que le litige a été résolu ; ou</w:t>
      </w:r>
    </w:p>
    <w:p w:rsidR="00F42BC1" w:rsidRPr="00DA4523" w:rsidRDefault="00F42BC1" w:rsidP="00DA4523">
      <w:pPr>
        <w:pStyle w:val="ECHRParaQuote"/>
        <w:rPr>
          <w:lang w:val="fr-FR"/>
        </w:rPr>
      </w:pPr>
      <w:r w:rsidRPr="00DA4523">
        <w:rPr>
          <w:lang w:val="fr-FR"/>
        </w:rPr>
        <w:t>c) que, pour tout autre motif dont la Cour constate l</w:t>
      </w:r>
      <w:r w:rsidR="00DA4523" w:rsidRPr="00DA4523">
        <w:rPr>
          <w:lang w:val="fr-FR"/>
        </w:rPr>
        <w:t>’</w:t>
      </w:r>
      <w:r w:rsidRPr="00DA4523">
        <w:rPr>
          <w:lang w:val="fr-FR"/>
        </w:rPr>
        <w:t>existence, il ne se justifie plus de poursuivre l</w:t>
      </w:r>
      <w:r w:rsidR="00DA4523" w:rsidRPr="00DA4523">
        <w:rPr>
          <w:lang w:val="fr-FR"/>
        </w:rPr>
        <w:t>’</w:t>
      </w:r>
      <w:r w:rsidRPr="00DA4523">
        <w:rPr>
          <w:lang w:val="fr-FR"/>
        </w:rPr>
        <w:t>examen de la requête.</w:t>
      </w:r>
    </w:p>
    <w:p w:rsidR="00F42BC1" w:rsidRPr="00DA4523" w:rsidRDefault="00F42BC1" w:rsidP="00DA4523">
      <w:pPr>
        <w:pStyle w:val="ECHRParaQuote"/>
        <w:rPr>
          <w:lang w:val="fr-FR"/>
        </w:rPr>
      </w:pPr>
      <w:r w:rsidRPr="00DA4523">
        <w:rPr>
          <w:lang w:val="fr-FR"/>
        </w:rPr>
        <w:t>Toutefois, la Cour poursuit l</w:t>
      </w:r>
      <w:r w:rsidR="00DA4523" w:rsidRPr="00DA4523">
        <w:rPr>
          <w:lang w:val="fr-FR"/>
        </w:rPr>
        <w:t>’</w:t>
      </w:r>
      <w:r w:rsidRPr="00DA4523">
        <w:rPr>
          <w:lang w:val="fr-FR"/>
        </w:rPr>
        <w:t>examen de la requête si le respect des droits de l</w:t>
      </w:r>
      <w:r w:rsidR="00DA4523" w:rsidRPr="00DA4523">
        <w:rPr>
          <w:lang w:val="fr-FR"/>
        </w:rPr>
        <w:t>’</w:t>
      </w:r>
      <w:r w:rsidRPr="00DA4523">
        <w:rPr>
          <w:lang w:val="fr-FR"/>
        </w:rPr>
        <w:t>homme garantis par la Conven</w:t>
      </w:r>
      <w:r w:rsidR="004A196F" w:rsidRPr="00DA4523">
        <w:rPr>
          <w:lang w:val="fr-FR"/>
        </w:rPr>
        <w:t>tion et ses Protocoles l</w:t>
      </w:r>
      <w:r w:rsidR="00DA4523" w:rsidRPr="00DA4523">
        <w:rPr>
          <w:lang w:val="fr-FR"/>
        </w:rPr>
        <w:t>’</w:t>
      </w:r>
      <w:r w:rsidR="004A196F" w:rsidRPr="00DA4523">
        <w:rPr>
          <w:lang w:val="fr-FR"/>
        </w:rPr>
        <w:t>exige. </w:t>
      </w:r>
      <w:r w:rsidRPr="00DA4523">
        <w:rPr>
          <w:lang w:val="fr-FR"/>
        </w:rPr>
        <w:t>»</w:t>
      </w:r>
    </w:p>
    <w:p w:rsidR="00F42BC1" w:rsidRPr="00DA4523" w:rsidRDefault="00F42BC1" w:rsidP="00DA4523">
      <w:pPr>
        <w:pStyle w:val="ECHRPara"/>
        <w:rPr>
          <w:lang w:val="fr-FR"/>
        </w:rPr>
      </w:pPr>
      <w:r w:rsidRPr="00DA4523">
        <w:rPr>
          <w:lang w:val="fr-FR"/>
        </w:rPr>
        <w:t>Elle observe que le décret d</w:t>
      </w:r>
      <w:r w:rsidR="00DA4523" w:rsidRPr="00DA4523">
        <w:rPr>
          <w:lang w:val="fr-FR"/>
        </w:rPr>
        <w:t>’</w:t>
      </w:r>
      <w:r w:rsidRPr="00DA4523">
        <w:rPr>
          <w:lang w:val="fr-FR"/>
        </w:rPr>
        <w:t>expulsion à l</w:t>
      </w:r>
      <w:r w:rsidR="00DA4523" w:rsidRPr="00DA4523">
        <w:rPr>
          <w:lang w:val="fr-FR"/>
        </w:rPr>
        <w:t>’</w:t>
      </w:r>
      <w:r w:rsidRPr="00DA4523">
        <w:rPr>
          <w:lang w:val="fr-FR"/>
        </w:rPr>
        <w:t>encontre du requérant a été annulé par une décision qui est définitive dans la mesure où elle n</w:t>
      </w:r>
      <w:r w:rsidR="00DA4523" w:rsidRPr="00DA4523">
        <w:rPr>
          <w:lang w:val="fr-FR"/>
        </w:rPr>
        <w:t>’</w:t>
      </w:r>
      <w:r w:rsidRPr="00DA4523">
        <w:rPr>
          <w:lang w:val="fr-FR"/>
        </w:rPr>
        <w:t>est pas susceptible d</w:t>
      </w:r>
      <w:r w:rsidR="00DA4523" w:rsidRPr="00DA4523">
        <w:rPr>
          <w:lang w:val="fr-FR"/>
        </w:rPr>
        <w:t>’</w:t>
      </w:r>
      <w:r w:rsidRPr="00DA4523">
        <w:rPr>
          <w:lang w:val="fr-FR"/>
        </w:rPr>
        <w:t>appel selon le droit national. La mesure d</w:t>
      </w:r>
      <w:r w:rsidR="00DA4523" w:rsidRPr="00DA4523">
        <w:rPr>
          <w:lang w:val="fr-FR"/>
        </w:rPr>
        <w:t>’</w:t>
      </w:r>
      <w:r w:rsidRPr="00DA4523">
        <w:rPr>
          <w:lang w:val="fr-FR"/>
        </w:rPr>
        <w:t>éloignement a donc été privée de toute base légale et le requérant ne risque pas d</w:t>
      </w:r>
      <w:r w:rsidR="00DA4523" w:rsidRPr="00DA4523">
        <w:rPr>
          <w:lang w:val="fr-FR"/>
        </w:rPr>
        <w:t>’</w:t>
      </w:r>
      <w:r w:rsidRPr="00DA4523">
        <w:rPr>
          <w:lang w:val="fr-FR"/>
        </w:rPr>
        <w:t>être renvoyé en Russie.</w:t>
      </w:r>
    </w:p>
    <w:p w:rsidR="00F42BC1" w:rsidRPr="00DA4523" w:rsidRDefault="00F42BC1" w:rsidP="00DA4523">
      <w:pPr>
        <w:pStyle w:val="ECHRPara"/>
        <w:rPr>
          <w:lang w:val="fr-FR"/>
        </w:rPr>
      </w:pPr>
      <w:r w:rsidRPr="00DA4523">
        <w:rPr>
          <w:lang w:val="fr-FR"/>
        </w:rPr>
        <w:t>Cela étant, la Cour constate que les autorités italiennes ont fait appel de la décision du tribunal de Turin dans le but de faire révoquer la protection subsidiaire octroyée au requérant. Or, dans l</w:t>
      </w:r>
      <w:r w:rsidR="00DA4523" w:rsidRPr="00DA4523">
        <w:rPr>
          <w:lang w:val="fr-FR"/>
        </w:rPr>
        <w:t>’</w:t>
      </w:r>
      <w:r w:rsidRPr="00DA4523">
        <w:rPr>
          <w:lang w:val="fr-FR"/>
        </w:rPr>
        <w:t>hypothèse où le requérant perdait le bénéfice du statut conféré par la protection subsidiaire et qu</w:t>
      </w:r>
      <w:r w:rsidR="00DA4523" w:rsidRPr="00DA4523">
        <w:rPr>
          <w:lang w:val="fr-FR"/>
        </w:rPr>
        <w:t>’</w:t>
      </w:r>
      <w:r w:rsidRPr="00DA4523">
        <w:rPr>
          <w:lang w:val="fr-FR"/>
        </w:rPr>
        <w:t>il risquait d</w:t>
      </w:r>
      <w:r w:rsidR="00DA4523" w:rsidRPr="00DA4523">
        <w:rPr>
          <w:lang w:val="fr-FR"/>
        </w:rPr>
        <w:t>’</w:t>
      </w:r>
      <w:r w:rsidRPr="00DA4523">
        <w:rPr>
          <w:lang w:val="fr-FR"/>
        </w:rPr>
        <w:t>être éloigné vers la Russie, il aura la possibilité, le cas échéant, d</w:t>
      </w:r>
      <w:r w:rsidR="00DA4523" w:rsidRPr="00DA4523">
        <w:rPr>
          <w:lang w:val="fr-FR"/>
        </w:rPr>
        <w:t>’</w:t>
      </w:r>
      <w:r w:rsidRPr="00DA4523">
        <w:rPr>
          <w:lang w:val="fr-FR"/>
        </w:rPr>
        <w:t>introduire une nouvelle requête devant la Cour, y compris la possibilité de demander des mesures provisoires sur la base de l</w:t>
      </w:r>
      <w:r w:rsidR="00DA4523" w:rsidRPr="00DA4523">
        <w:rPr>
          <w:lang w:val="fr-FR"/>
        </w:rPr>
        <w:t>’</w:t>
      </w:r>
      <w:r w:rsidRPr="00DA4523">
        <w:rPr>
          <w:lang w:val="fr-FR"/>
        </w:rPr>
        <w:t>article 39 du règlement.</w:t>
      </w:r>
    </w:p>
    <w:p w:rsidR="00F42BC1" w:rsidRPr="00DA4523" w:rsidRDefault="00F42BC1" w:rsidP="00DA4523">
      <w:pPr>
        <w:pStyle w:val="ECHRPara"/>
        <w:rPr>
          <w:lang w:val="fr-FR"/>
        </w:rPr>
      </w:pPr>
      <w:r w:rsidRPr="00DA4523">
        <w:rPr>
          <w:lang w:val="fr-FR"/>
        </w:rPr>
        <w:t>Eu égard à ce qui précède, la Cour estime qu</w:t>
      </w:r>
      <w:r w:rsidR="00DA4523" w:rsidRPr="00DA4523">
        <w:rPr>
          <w:lang w:val="fr-FR"/>
        </w:rPr>
        <w:t>’</w:t>
      </w:r>
      <w:r w:rsidRPr="00DA4523">
        <w:rPr>
          <w:lang w:val="fr-FR"/>
        </w:rPr>
        <w:t>il ne se justifie plus, conformément à l</w:t>
      </w:r>
      <w:r w:rsidR="00DA4523" w:rsidRPr="00DA4523">
        <w:rPr>
          <w:lang w:val="fr-FR"/>
        </w:rPr>
        <w:t>’</w:t>
      </w:r>
      <w:r w:rsidRPr="00DA4523">
        <w:rPr>
          <w:lang w:val="fr-FR"/>
        </w:rPr>
        <w:t>article 37 § 1 c) de la Convention, de poursuivre l</w:t>
      </w:r>
      <w:r w:rsidR="00DA4523" w:rsidRPr="00DA4523">
        <w:rPr>
          <w:lang w:val="fr-FR"/>
        </w:rPr>
        <w:t>’</w:t>
      </w:r>
      <w:r w:rsidRPr="00DA4523">
        <w:rPr>
          <w:lang w:val="fr-FR"/>
        </w:rPr>
        <w:t>examen de la requête. Elle constate par ailleurs qu</w:t>
      </w:r>
      <w:r w:rsidR="00DA4523" w:rsidRPr="00DA4523">
        <w:rPr>
          <w:lang w:val="fr-FR"/>
        </w:rPr>
        <w:t>’</w:t>
      </w:r>
      <w:r w:rsidRPr="00DA4523">
        <w:rPr>
          <w:lang w:val="fr-FR"/>
        </w:rPr>
        <w:t>aucun motif particulier touchant au respect des droits de l</w:t>
      </w:r>
      <w:r w:rsidR="00DA4523" w:rsidRPr="00DA4523">
        <w:rPr>
          <w:lang w:val="fr-FR"/>
        </w:rPr>
        <w:t>’</w:t>
      </w:r>
      <w:r w:rsidRPr="00DA4523">
        <w:rPr>
          <w:lang w:val="fr-FR"/>
        </w:rPr>
        <w:t>homme garantis par la Convention n</w:t>
      </w:r>
      <w:r w:rsidR="00DA4523" w:rsidRPr="00DA4523">
        <w:rPr>
          <w:lang w:val="fr-FR"/>
        </w:rPr>
        <w:t>’</w:t>
      </w:r>
      <w:r w:rsidRPr="00DA4523">
        <w:rPr>
          <w:lang w:val="fr-FR"/>
        </w:rPr>
        <w:t>exige la poursuite de l</w:t>
      </w:r>
      <w:r w:rsidR="00DA4523" w:rsidRPr="00DA4523">
        <w:rPr>
          <w:lang w:val="fr-FR"/>
        </w:rPr>
        <w:t>’</w:t>
      </w:r>
      <w:r w:rsidRPr="00DA4523">
        <w:rPr>
          <w:lang w:val="fr-FR"/>
        </w:rPr>
        <w:t>examen de la requête en vertu de l</w:t>
      </w:r>
      <w:r w:rsidR="00DA4523" w:rsidRPr="00DA4523">
        <w:rPr>
          <w:lang w:val="fr-FR"/>
        </w:rPr>
        <w:t>’</w:t>
      </w:r>
      <w:r w:rsidRPr="00DA4523">
        <w:rPr>
          <w:lang w:val="fr-FR"/>
        </w:rPr>
        <w:t xml:space="preserve">article 37 § </w:t>
      </w:r>
      <w:r w:rsidRPr="00DA4523">
        <w:rPr>
          <w:i/>
          <w:lang w:val="fr-FR"/>
        </w:rPr>
        <w:t xml:space="preserve">1 in fine </w:t>
      </w:r>
      <w:r w:rsidRPr="00DA4523">
        <w:rPr>
          <w:lang w:val="fr-FR"/>
        </w:rPr>
        <w:t>de la Convention.</w:t>
      </w:r>
    </w:p>
    <w:p w:rsidR="00F42BC1" w:rsidRPr="00DA4523" w:rsidRDefault="00F42BC1" w:rsidP="00DA4523">
      <w:pPr>
        <w:pStyle w:val="ECHRPara"/>
        <w:rPr>
          <w:lang w:val="fr-FR"/>
        </w:rPr>
      </w:pPr>
      <w:r w:rsidRPr="00DA4523">
        <w:rPr>
          <w:lang w:val="fr-FR"/>
        </w:rPr>
        <w:t>Partant, la Cour conclut qu</w:t>
      </w:r>
      <w:r w:rsidR="00DA4523" w:rsidRPr="00DA4523">
        <w:rPr>
          <w:lang w:val="fr-FR"/>
        </w:rPr>
        <w:t>’</w:t>
      </w:r>
      <w:r w:rsidRPr="00DA4523">
        <w:rPr>
          <w:lang w:val="fr-FR"/>
        </w:rPr>
        <w:t>il y a lieu de rayer l</w:t>
      </w:r>
      <w:r w:rsidR="00DA4523" w:rsidRPr="00DA4523">
        <w:rPr>
          <w:lang w:val="fr-FR"/>
        </w:rPr>
        <w:t>’</w:t>
      </w:r>
      <w:r w:rsidRPr="00DA4523">
        <w:rPr>
          <w:lang w:val="fr-FR"/>
        </w:rPr>
        <w:t>affaire du rôle. L</w:t>
      </w:r>
      <w:r w:rsidR="00DA4523" w:rsidRPr="00DA4523">
        <w:rPr>
          <w:lang w:val="fr-FR"/>
        </w:rPr>
        <w:t>’</w:t>
      </w:r>
      <w:r w:rsidRPr="00DA4523">
        <w:rPr>
          <w:lang w:val="fr-FR"/>
        </w:rPr>
        <w:t>application de l</w:t>
      </w:r>
      <w:r w:rsidR="00DA4523" w:rsidRPr="00DA4523">
        <w:rPr>
          <w:lang w:val="fr-FR"/>
        </w:rPr>
        <w:t>’</w:t>
      </w:r>
      <w:r w:rsidRPr="00DA4523">
        <w:rPr>
          <w:lang w:val="fr-FR"/>
        </w:rPr>
        <w:t>article 39 du règlement prend ainsi fin.</w:t>
      </w:r>
    </w:p>
    <w:p w:rsidR="00F42BC1" w:rsidRPr="00DA4523" w:rsidRDefault="00F42BC1" w:rsidP="00DA4523">
      <w:pPr>
        <w:pStyle w:val="ECHRPara"/>
        <w:rPr>
          <w:lang w:val="fr-FR"/>
        </w:rPr>
      </w:pPr>
    </w:p>
    <w:p w:rsidR="00F42BC1" w:rsidRPr="00DA4523" w:rsidRDefault="00F42BC1" w:rsidP="00DA4523">
      <w:pPr>
        <w:pStyle w:val="ECHRPara"/>
        <w:rPr>
          <w:lang w:val="fr-FR"/>
        </w:rPr>
      </w:pPr>
      <w:r w:rsidRPr="00DA4523">
        <w:rPr>
          <w:lang w:val="fr-FR"/>
        </w:rPr>
        <w:t>Par ces motifs, la Cour, à l</w:t>
      </w:r>
      <w:r w:rsidR="00DA4523" w:rsidRPr="00DA4523">
        <w:rPr>
          <w:lang w:val="fr-FR"/>
        </w:rPr>
        <w:t>’</w:t>
      </w:r>
      <w:r w:rsidRPr="00DA4523">
        <w:rPr>
          <w:lang w:val="fr-FR"/>
        </w:rPr>
        <w:t>unanimité,</w:t>
      </w:r>
    </w:p>
    <w:p w:rsidR="00F42BC1" w:rsidRPr="00DA4523" w:rsidRDefault="00F42BC1" w:rsidP="00DA4523">
      <w:pPr>
        <w:pStyle w:val="DecList"/>
        <w:rPr>
          <w:lang w:val="fr-FR"/>
        </w:rPr>
      </w:pPr>
      <w:r w:rsidRPr="00DA4523">
        <w:rPr>
          <w:i/>
          <w:lang w:val="fr-FR"/>
        </w:rPr>
        <w:t>Décide</w:t>
      </w:r>
      <w:r w:rsidRPr="00DA4523">
        <w:rPr>
          <w:lang w:val="fr-FR"/>
        </w:rPr>
        <w:t xml:space="preserve"> de rayer la requête du rôle.</w:t>
      </w:r>
    </w:p>
    <w:p w:rsidR="006544C4" w:rsidRPr="00DA4523" w:rsidRDefault="006544C4" w:rsidP="00DA4523">
      <w:pPr>
        <w:pStyle w:val="ECHRPara"/>
        <w:rPr>
          <w:sz w:val="2"/>
          <w:szCs w:val="2"/>
          <w:lang w:val="fr-FR" w:eastAsia="en-GB"/>
        </w:rPr>
      </w:pPr>
    </w:p>
    <w:p w:rsidR="00050A32" w:rsidRPr="00DA4523" w:rsidRDefault="00F40988" w:rsidP="00DA4523">
      <w:pPr>
        <w:pStyle w:val="JuParaLast"/>
        <w:rPr>
          <w:lang w:val="fr-FR"/>
        </w:rPr>
      </w:pPr>
      <w:r w:rsidRPr="00DA4523">
        <w:rPr>
          <w:szCs w:val="24"/>
          <w:lang w:val="fr-FR"/>
        </w:rPr>
        <w:t xml:space="preserve">Fait en français puis communiqué par écrit le </w:t>
      </w:r>
      <w:r w:rsidR="00F42BC1" w:rsidRPr="00DA4523">
        <w:rPr>
          <w:szCs w:val="24"/>
          <w:lang w:val="fr-FR"/>
        </w:rPr>
        <w:t>8 février 2018</w:t>
      </w:r>
      <w:r w:rsidRPr="00DA4523">
        <w:rPr>
          <w:lang w:val="fr-FR"/>
        </w:rPr>
        <w:t>.</w:t>
      </w:r>
    </w:p>
    <w:p w:rsidR="00234E8A" w:rsidRPr="00DA4523" w:rsidRDefault="00050A32" w:rsidP="00DA4523">
      <w:pPr>
        <w:pStyle w:val="JuSigned"/>
        <w:rPr>
          <w:lang w:val="fr-FR"/>
        </w:rPr>
      </w:pPr>
      <w:r w:rsidRPr="00DA4523">
        <w:rPr>
          <w:lang w:val="fr-FR"/>
        </w:rPr>
        <w:tab/>
      </w:r>
      <w:r w:rsidR="001B5898" w:rsidRPr="00DA4523">
        <w:rPr>
          <w:lang w:val="fr-FR"/>
        </w:rPr>
        <w:t xml:space="preserve">Renata </w:t>
      </w:r>
      <w:proofErr w:type="spellStart"/>
      <w:r w:rsidR="001B5898" w:rsidRPr="00DA4523">
        <w:rPr>
          <w:lang w:val="fr-FR"/>
        </w:rPr>
        <w:t>Degener</w:t>
      </w:r>
      <w:proofErr w:type="spellEnd"/>
      <w:r w:rsidR="0091478F" w:rsidRPr="00DA4523">
        <w:rPr>
          <w:lang w:val="fr-FR"/>
        </w:rPr>
        <w:tab/>
      </w:r>
      <w:r w:rsidR="00F42BC1" w:rsidRPr="00DA4523">
        <w:rPr>
          <w:lang w:val="fr-FR"/>
        </w:rPr>
        <w:t xml:space="preserve">Kristina </w:t>
      </w:r>
      <w:proofErr w:type="spellStart"/>
      <w:r w:rsidR="00F42BC1" w:rsidRPr="00DA4523">
        <w:rPr>
          <w:lang w:val="fr-FR"/>
        </w:rPr>
        <w:t>Pardalos</w:t>
      </w:r>
      <w:proofErr w:type="spellEnd"/>
      <w:r w:rsidR="00DA4523" w:rsidRPr="00DA4523">
        <w:rPr>
          <w:lang w:val="fr-FR"/>
        </w:rPr>
        <w:br/>
      </w:r>
      <w:r w:rsidR="001B5898" w:rsidRPr="00DA4523">
        <w:rPr>
          <w:lang w:val="fr-FR"/>
        </w:rPr>
        <w:t>Greffière adjointe</w:t>
      </w:r>
      <w:r w:rsidR="0091478F" w:rsidRPr="00DA4523">
        <w:rPr>
          <w:lang w:val="fr-FR"/>
        </w:rPr>
        <w:tab/>
      </w:r>
      <w:r w:rsidR="00F42BC1" w:rsidRPr="00DA4523">
        <w:rPr>
          <w:lang w:val="fr-FR"/>
        </w:rPr>
        <w:t>Présidente</w:t>
      </w:r>
    </w:p>
    <w:sectPr w:rsidR="00234E8A" w:rsidRPr="00DA4523"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6A5" w:rsidRPr="007A6280" w:rsidRDefault="006936A5" w:rsidP="006544C4">
      <w:pPr>
        <w:rPr>
          <w:lang w:val="fr-FR"/>
        </w:rPr>
      </w:pPr>
      <w:r w:rsidRPr="007A6280">
        <w:rPr>
          <w:lang w:val="fr-FR"/>
        </w:rPr>
        <w:separator/>
      </w:r>
    </w:p>
  </w:endnote>
  <w:endnote w:type="continuationSeparator" w:id="0">
    <w:p w:rsidR="006936A5" w:rsidRPr="007A6280" w:rsidRDefault="006936A5"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BC1" w:rsidRPr="00150BFA" w:rsidRDefault="00F42BC1" w:rsidP="0020718E">
    <w:pPr>
      <w:jc w:val="center"/>
    </w:pPr>
    <w:r>
      <w:rPr>
        <w:noProof/>
        <w:lang w:val="it-IT" w:eastAsia="it-IT"/>
      </w:rPr>
      <w:drawing>
        <wp:inline distT="0" distB="0" distL="0" distR="0" wp14:anchorId="6EA692D3" wp14:editId="075B914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A6280" w:rsidRDefault="006936A5"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6A5" w:rsidRPr="007A6280" w:rsidRDefault="006936A5" w:rsidP="006544C4">
      <w:pPr>
        <w:rPr>
          <w:lang w:val="fr-FR"/>
        </w:rPr>
      </w:pPr>
      <w:r w:rsidRPr="007A6280">
        <w:rPr>
          <w:lang w:val="fr-FR"/>
        </w:rPr>
        <w:separator/>
      </w:r>
    </w:p>
  </w:footnote>
  <w:footnote w:type="continuationSeparator" w:id="0">
    <w:p w:rsidR="006936A5" w:rsidRPr="007A6280" w:rsidRDefault="006936A5" w:rsidP="006544C4">
      <w:pPr>
        <w:rPr>
          <w:lang w:val="fr-FR"/>
        </w:rPr>
      </w:pPr>
      <w:r w:rsidRPr="007A6280">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B0BD9" w:rsidRDefault="00F42BC1" w:rsidP="003312A3">
    <w:pPr>
      <w:pStyle w:val="ECHRHeader"/>
    </w:pPr>
    <w:r>
      <w:rPr>
        <w:rStyle w:val="Numeropagina"/>
      </w:rPr>
      <w:fldChar w:fldCharType="begin"/>
    </w:r>
    <w:r>
      <w:rPr>
        <w:rStyle w:val="Numeropagina"/>
      </w:rPr>
      <w:instrText xml:space="preserve"> PAGE </w:instrText>
    </w:r>
    <w:r>
      <w:rPr>
        <w:rStyle w:val="Numeropagina"/>
      </w:rPr>
      <w:fldChar w:fldCharType="separate"/>
    </w:r>
    <w:r w:rsidR="002D2051">
      <w:rPr>
        <w:rStyle w:val="Numeropagina"/>
        <w:noProof/>
      </w:rPr>
      <w:t>4</w:t>
    </w:r>
    <w:r>
      <w:rPr>
        <w:rStyle w:val="Numeropagina"/>
      </w:rPr>
      <w:fldChar w:fldCharType="end"/>
    </w:r>
    <w:r w:rsidR="00334EC5" w:rsidRPr="008B0BD9">
      <w:tab/>
      <w:t xml:space="preserve">DÉCISION </w:t>
    </w:r>
    <w:r>
      <w:t>M.K.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B0BD9" w:rsidRDefault="00334EC5" w:rsidP="006544C4">
    <w:pPr>
      <w:pStyle w:val="ECHRHeader"/>
    </w:pPr>
    <w:r w:rsidRPr="007A6280">
      <w:rPr>
        <w:lang w:val="fr-FR"/>
      </w:rPr>
      <w:tab/>
    </w:r>
    <w:r w:rsidRPr="008B0BD9">
      <w:t xml:space="preserve">DÉCISION </w:t>
    </w:r>
    <w:r w:rsidR="00F42BC1">
      <w:t>M.K. c. ITALIE</w:t>
    </w:r>
    <w:r w:rsidRPr="008B0BD9">
      <w:tab/>
    </w:r>
    <w:r w:rsidR="00F42BC1">
      <w:rPr>
        <w:rStyle w:val="Numeropagina"/>
      </w:rPr>
      <w:fldChar w:fldCharType="begin"/>
    </w:r>
    <w:r w:rsidR="00F42BC1">
      <w:rPr>
        <w:rStyle w:val="Numeropagina"/>
      </w:rPr>
      <w:instrText xml:space="preserve"> PAGE </w:instrText>
    </w:r>
    <w:r w:rsidR="00F42BC1">
      <w:rPr>
        <w:rStyle w:val="Numeropagina"/>
      </w:rPr>
      <w:fldChar w:fldCharType="separate"/>
    </w:r>
    <w:r w:rsidR="002D2051">
      <w:rPr>
        <w:rStyle w:val="Numeropagina"/>
        <w:noProof/>
      </w:rPr>
      <w:t>5</w:t>
    </w:r>
    <w:r w:rsidR="00F42BC1">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BC1" w:rsidRPr="00A45145" w:rsidRDefault="00F42BC1" w:rsidP="00A45145">
    <w:pPr>
      <w:jc w:val="center"/>
    </w:pPr>
    <w:r>
      <w:rPr>
        <w:noProof/>
        <w:lang w:val="it-IT" w:eastAsia="it-IT"/>
      </w:rPr>
      <w:drawing>
        <wp:inline distT="0" distB="0" distL="0" distR="0" wp14:anchorId="26104688" wp14:editId="596EA3B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6936A5"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F42BC1"/>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B5898"/>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051"/>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A196F"/>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36A5"/>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57584"/>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2B7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77B6"/>
    <w:rsid w:val="00DA4523"/>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42BC1"/>
    <w:rsid w:val="00F56A6F"/>
    <w:rsid w:val="00F5709C"/>
    <w:rsid w:val="00F64EF1"/>
    <w:rsid w:val="00F8765F"/>
    <w:rsid w:val="00F90767"/>
    <w:rsid w:val="00F9130D"/>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F9130D"/>
    <w:pPr>
      <w:jc w:val="both"/>
    </w:pPr>
    <w:rPr>
      <w:rFonts w:eastAsiaTheme="minorEastAsia"/>
      <w:sz w:val="24"/>
    </w:rPr>
  </w:style>
  <w:style w:type="paragraph" w:styleId="Titolo1">
    <w:name w:val="heading 1"/>
    <w:basedOn w:val="Normale"/>
    <w:next w:val="Normale"/>
    <w:link w:val="Titolo1Carattere"/>
    <w:uiPriority w:val="99"/>
    <w:semiHidden/>
    <w:rsid w:val="00F9130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F9130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F9130D"/>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F9130D"/>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B5898"/>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F9130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B5898"/>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1B5898"/>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1B5898"/>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F913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130D"/>
    <w:rPr>
      <w:rFonts w:ascii="Tahoma" w:eastAsiaTheme="minorEastAsia" w:hAnsi="Tahoma" w:cs="Tahoma"/>
      <w:sz w:val="16"/>
      <w:szCs w:val="16"/>
    </w:rPr>
  </w:style>
  <w:style w:type="character" w:styleId="Titolodellibro">
    <w:name w:val="Book Title"/>
    <w:uiPriority w:val="99"/>
    <w:semiHidden/>
    <w:qFormat/>
    <w:rsid w:val="001B5898"/>
    <w:rPr>
      <w:i/>
      <w:iCs/>
      <w:smallCaps/>
      <w:spacing w:val="5"/>
    </w:rPr>
  </w:style>
  <w:style w:type="paragraph" w:customStyle="1" w:styleId="ECHRHeader">
    <w:name w:val="ECHR_Header"/>
    <w:aliases w:val="Ju_Header"/>
    <w:basedOn w:val="Intestazione"/>
    <w:uiPriority w:val="4"/>
    <w:qFormat/>
    <w:rsid w:val="001B5898"/>
    <w:pPr>
      <w:tabs>
        <w:tab w:val="clear" w:pos="4536"/>
        <w:tab w:val="clear" w:pos="9072"/>
        <w:tab w:val="center" w:pos="3686"/>
        <w:tab w:val="right" w:pos="7371"/>
      </w:tabs>
      <w:jc w:val="left"/>
    </w:pPr>
    <w:rPr>
      <w:sz w:val="18"/>
      <w:lang w:val="en-GB"/>
    </w:rPr>
  </w:style>
  <w:style w:type="paragraph" w:customStyle="1" w:styleId="JuAppQuestion">
    <w:name w:val="Ju_App_Question"/>
    <w:basedOn w:val="Normale"/>
    <w:uiPriority w:val="5"/>
    <w:qFormat/>
    <w:rsid w:val="001B5898"/>
    <w:pPr>
      <w:numPr>
        <w:numId w:val="29"/>
      </w:numPr>
      <w:jc w:val="left"/>
    </w:pPr>
    <w:rPr>
      <w:b/>
      <w:lang w:val="en-GB"/>
    </w:rPr>
  </w:style>
  <w:style w:type="character" w:styleId="Enfasigrassetto">
    <w:name w:val="Strong"/>
    <w:uiPriority w:val="99"/>
    <w:semiHidden/>
    <w:qFormat/>
    <w:rsid w:val="001B5898"/>
    <w:rPr>
      <w:b/>
      <w:bCs/>
    </w:rPr>
  </w:style>
  <w:style w:type="paragraph" w:styleId="Nessunaspaziatura">
    <w:name w:val="No Spacing"/>
    <w:basedOn w:val="Normale"/>
    <w:link w:val="NessunaspaziaturaCarattere"/>
    <w:semiHidden/>
    <w:qFormat/>
    <w:rsid w:val="001B5898"/>
    <w:rPr>
      <w:sz w:val="22"/>
    </w:rPr>
  </w:style>
  <w:style w:type="character" w:customStyle="1" w:styleId="NessunaspaziaturaCarattere">
    <w:name w:val="Nessuna spaziatura Carattere"/>
    <w:basedOn w:val="Carpredefinitoparagrafo"/>
    <w:link w:val="Nessunaspaziatura"/>
    <w:semiHidden/>
    <w:rsid w:val="001B5898"/>
    <w:rPr>
      <w:rFonts w:eastAsiaTheme="minorEastAsia"/>
    </w:rPr>
  </w:style>
  <w:style w:type="paragraph" w:customStyle="1" w:styleId="OpiPara">
    <w:name w:val="Opi_Para"/>
    <w:basedOn w:val="ECHRPara"/>
    <w:uiPriority w:val="46"/>
    <w:semiHidden/>
    <w:qFormat/>
    <w:rsid w:val="001B5898"/>
  </w:style>
  <w:style w:type="paragraph" w:customStyle="1" w:styleId="ECHRParaQuote">
    <w:name w:val="ECHR_Para_Quote"/>
    <w:aliases w:val="Ju_Quot"/>
    <w:basedOn w:val="Normale"/>
    <w:uiPriority w:val="14"/>
    <w:qFormat/>
    <w:rsid w:val="001B5898"/>
    <w:pPr>
      <w:spacing w:before="120" w:after="120"/>
      <w:ind w:left="425" w:firstLine="142"/>
    </w:pPr>
    <w:rPr>
      <w:sz w:val="20"/>
      <w:lang w:val="en-GB"/>
    </w:rPr>
  </w:style>
  <w:style w:type="paragraph" w:customStyle="1" w:styleId="JuParaSub">
    <w:name w:val="Ju_Para_Sub"/>
    <w:basedOn w:val="ECHRPara"/>
    <w:uiPriority w:val="13"/>
    <w:qFormat/>
    <w:rsid w:val="001B5898"/>
    <w:pPr>
      <w:ind w:left="284"/>
    </w:pPr>
  </w:style>
  <w:style w:type="paragraph" w:customStyle="1" w:styleId="OpiParaSub">
    <w:name w:val="Opi_Para_Sub"/>
    <w:basedOn w:val="JuParaSub"/>
    <w:uiPriority w:val="47"/>
    <w:semiHidden/>
    <w:qFormat/>
    <w:rsid w:val="001B5898"/>
  </w:style>
  <w:style w:type="paragraph" w:customStyle="1" w:styleId="OpiQuot">
    <w:name w:val="Opi_Quot"/>
    <w:basedOn w:val="ECHRParaQuote"/>
    <w:uiPriority w:val="48"/>
    <w:semiHidden/>
    <w:qFormat/>
    <w:rsid w:val="001B5898"/>
  </w:style>
  <w:style w:type="paragraph" w:customStyle="1" w:styleId="OpiQuotSub">
    <w:name w:val="Opi_Quot_Sub"/>
    <w:basedOn w:val="JuQuotSub"/>
    <w:uiPriority w:val="49"/>
    <w:semiHidden/>
    <w:qFormat/>
    <w:rsid w:val="001B5898"/>
  </w:style>
  <w:style w:type="paragraph" w:customStyle="1" w:styleId="ECHRTitleCentre3">
    <w:name w:val="ECHR_Title_Centre_3"/>
    <w:aliases w:val="Ju_H_Article"/>
    <w:basedOn w:val="Normale"/>
    <w:next w:val="ECHRParaQuote"/>
    <w:uiPriority w:val="27"/>
    <w:qFormat/>
    <w:rsid w:val="001B5898"/>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Normale"/>
    <w:next w:val="OpiPara"/>
    <w:uiPriority w:val="39"/>
    <w:qFormat/>
    <w:rsid w:val="001B5898"/>
    <w:pPr>
      <w:keepNext/>
      <w:keepLines/>
      <w:spacing w:after="240"/>
      <w:jc w:val="center"/>
      <w:outlineLvl w:val="0"/>
    </w:pPr>
    <w:rPr>
      <w:rFonts w:asciiTheme="majorHAnsi" w:hAnsiTheme="majorHAnsi"/>
      <w:sz w:val="28"/>
      <w:lang w:val="en-GB"/>
    </w:rPr>
  </w:style>
  <w:style w:type="paragraph" w:customStyle="1" w:styleId="JuTitle">
    <w:name w:val="Ju_Title"/>
    <w:basedOn w:val="Normale"/>
    <w:next w:val="ECHRPara"/>
    <w:uiPriority w:val="3"/>
    <w:qFormat/>
    <w:rsid w:val="001B5898"/>
    <w:pPr>
      <w:spacing w:before="720" w:after="240"/>
      <w:jc w:val="center"/>
      <w:outlineLvl w:val="0"/>
    </w:pPr>
    <w:rPr>
      <w:rFonts w:asciiTheme="majorHAnsi" w:hAnsiTheme="majorHAnsi"/>
      <w:b/>
      <w:caps/>
      <w:lang w:val="en-GB"/>
    </w:rPr>
  </w:style>
  <w:style w:type="paragraph" w:customStyle="1" w:styleId="ECHRTitle1">
    <w:name w:val="ECHR_Title_1"/>
    <w:aliases w:val="Ju_H_Head"/>
    <w:basedOn w:val="Normale"/>
    <w:next w:val="ECHRPara"/>
    <w:uiPriority w:val="18"/>
    <w:qFormat/>
    <w:rsid w:val="001B5898"/>
    <w:pPr>
      <w:keepNext/>
      <w:keepLines/>
      <w:spacing w:before="720" w:after="240"/>
      <w:outlineLvl w:val="0"/>
    </w:pPr>
    <w:rPr>
      <w:rFonts w:asciiTheme="majorHAnsi" w:hAnsiTheme="majorHAnsi"/>
      <w:sz w:val="28"/>
      <w:lang w:val="en-GB"/>
    </w:rPr>
  </w:style>
  <w:style w:type="paragraph" w:customStyle="1" w:styleId="JuQuotSub">
    <w:name w:val="Ju_Quot_Sub"/>
    <w:basedOn w:val="ECHRParaQuote"/>
    <w:uiPriority w:val="15"/>
    <w:qFormat/>
    <w:rsid w:val="001B5898"/>
    <w:pPr>
      <w:ind w:left="567"/>
    </w:pPr>
  </w:style>
  <w:style w:type="paragraph" w:styleId="Titolo">
    <w:name w:val="Title"/>
    <w:basedOn w:val="Normale"/>
    <w:next w:val="Normale"/>
    <w:link w:val="TitoloCarattere"/>
    <w:uiPriority w:val="99"/>
    <w:semiHidden/>
    <w:qFormat/>
    <w:rsid w:val="001B589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1B5898"/>
    <w:rPr>
      <w:rFonts w:asciiTheme="majorHAnsi" w:eastAsiaTheme="majorEastAsia" w:hAnsiTheme="majorHAnsi" w:cstheme="majorBidi"/>
      <w:spacing w:val="5"/>
      <w:sz w:val="52"/>
      <w:szCs w:val="52"/>
      <w:lang w:bidi="en-US"/>
    </w:rPr>
  </w:style>
  <w:style w:type="paragraph" w:customStyle="1" w:styleId="JuInitialled">
    <w:name w:val="Ju_Initialled"/>
    <w:basedOn w:val="Normale"/>
    <w:uiPriority w:val="31"/>
    <w:qFormat/>
    <w:rsid w:val="001B5898"/>
    <w:pPr>
      <w:tabs>
        <w:tab w:val="center" w:pos="6407"/>
      </w:tabs>
      <w:spacing w:before="720"/>
      <w:jc w:val="right"/>
    </w:pPr>
    <w:rPr>
      <w:lang w:val="en-GB"/>
    </w:rPr>
  </w:style>
  <w:style w:type="paragraph" w:customStyle="1" w:styleId="OpiHA">
    <w:name w:val="Opi_H_A"/>
    <w:basedOn w:val="ECHRHeading1"/>
    <w:next w:val="OpiPara"/>
    <w:uiPriority w:val="41"/>
    <w:semiHidden/>
    <w:qFormat/>
    <w:rsid w:val="001B5898"/>
    <w:pPr>
      <w:tabs>
        <w:tab w:val="clear" w:pos="357"/>
      </w:tabs>
      <w:outlineLvl w:val="1"/>
    </w:pPr>
    <w:rPr>
      <w:b/>
    </w:rPr>
  </w:style>
  <w:style w:type="character" w:customStyle="1" w:styleId="JUNAMES">
    <w:name w:val="JU_NAMES"/>
    <w:uiPriority w:val="17"/>
    <w:qFormat/>
    <w:rsid w:val="001B5898"/>
    <w:rPr>
      <w:caps w:val="0"/>
      <w:smallCaps/>
    </w:rPr>
  </w:style>
  <w:style w:type="character" w:customStyle="1" w:styleId="JuITMark">
    <w:name w:val="Ju_ITMark"/>
    <w:basedOn w:val="Carpredefinitoparagrafo"/>
    <w:uiPriority w:val="38"/>
    <w:semiHidden/>
    <w:qFormat/>
    <w:rsid w:val="001B5898"/>
    <w:rPr>
      <w:vanish w:val="0"/>
      <w:color w:val="auto"/>
      <w:sz w:val="14"/>
      <w:bdr w:val="none" w:sz="0" w:space="0" w:color="auto"/>
      <w:shd w:val="clear" w:color="auto" w:fill="BEE5FF" w:themeFill="background1" w:themeFillTint="33"/>
    </w:rPr>
  </w:style>
  <w:style w:type="paragraph" w:customStyle="1" w:styleId="OpiTranslation">
    <w:name w:val="Opi_Translation"/>
    <w:basedOn w:val="Normale"/>
    <w:next w:val="OpiPara"/>
    <w:uiPriority w:val="40"/>
    <w:semiHidden/>
    <w:qFormat/>
    <w:rsid w:val="001B5898"/>
    <w:pPr>
      <w:jc w:val="center"/>
      <w:outlineLvl w:val="0"/>
    </w:pPr>
    <w:rPr>
      <w:i/>
      <w:lang w:val="en-GB"/>
    </w:rPr>
  </w:style>
  <w:style w:type="paragraph" w:customStyle="1" w:styleId="ECHRHeading1">
    <w:name w:val="ECHR_Heading_1"/>
    <w:aliases w:val="Ju_H_I_Roman"/>
    <w:basedOn w:val="Titolo1"/>
    <w:next w:val="ECHRPara"/>
    <w:uiPriority w:val="19"/>
    <w:qFormat/>
    <w:rsid w:val="001B5898"/>
    <w:pPr>
      <w:keepNext/>
      <w:keepLines/>
      <w:tabs>
        <w:tab w:val="left" w:pos="357"/>
      </w:tabs>
      <w:spacing w:before="360" w:after="240"/>
      <w:ind w:left="357" w:hanging="357"/>
      <w:contextualSpacing w:val="0"/>
    </w:pPr>
    <w:rPr>
      <w:b w:val="0"/>
      <w:color w:val="auto"/>
      <w:sz w:val="24"/>
      <w:lang w:val="en-GB"/>
    </w:rPr>
  </w:style>
  <w:style w:type="paragraph" w:customStyle="1" w:styleId="ECHRHeading2">
    <w:name w:val="ECHR_Heading_2"/>
    <w:aliases w:val="Ju_H_A"/>
    <w:basedOn w:val="Titolo2"/>
    <w:next w:val="ECHRPara"/>
    <w:uiPriority w:val="20"/>
    <w:qFormat/>
    <w:rsid w:val="001B5898"/>
    <w:pPr>
      <w:keepNext/>
      <w:keepLines/>
      <w:tabs>
        <w:tab w:val="left" w:pos="584"/>
      </w:tabs>
      <w:spacing w:before="360" w:after="240"/>
      <w:ind w:left="584" w:hanging="352"/>
    </w:pPr>
    <w:rPr>
      <w:color w:val="auto"/>
      <w:sz w:val="24"/>
      <w:lang w:val="en-GB"/>
    </w:rPr>
  </w:style>
  <w:style w:type="paragraph" w:customStyle="1" w:styleId="ECHRHeading3">
    <w:name w:val="ECHR_Heading_3"/>
    <w:aliases w:val="Ju_H_1."/>
    <w:basedOn w:val="Titolo3"/>
    <w:next w:val="ECHRPara"/>
    <w:uiPriority w:val="21"/>
    <w:qFormat/>
    <w:rsid w:val="001B5898"/>
    <w:pPr>
      <w:keepNext/>
      <w:keepLines/>
      <w:tabs>
        <w:tab w:val="left" w:pos="731"/>
      </w:tabs>
      <w:spacing w:before="240" w:after="120" w:line="240" w:lineRule="auto"/>
      <w:ind w:left="732" w:hanging="301"/>
    </w:pPr>
    <w:rPr>
      <w:b w:val="0"/>
      <w:i/>
      <w:color w:val="auto"/>
      <w:lang w:val="en-GB"/>
    </w:rPr>
  </w:style>
  <w:style w:type="paragraph" w:styleId="Intestazione">
    <w:name w:val="header"/>
    <w:basedOn w:val="Normale"/>
    <w:link w:val="IntestazioneCarattere"/>
    <w:uiPriority w:val="57"/>
    <w:semiHidden/>
    <w:rsid w:val="00F9130D"/>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F9130D"/>
    <w:rPr>
      <w:sz w:val="24"/>
    </w:rPr>
  </w:style>
  <w:style w:type="character" w:customStyle="1" w:styleId="Titolo1Carattere">
    <w:name w:val="Titolo 1 Carattere"/>
    <w:basedOn w:val="Carpredefinitoparagrafo"/>
    <w:link w:val="Titolo1"/>
    <w:uiPriority w:val="99"/>
    <w:semiHidden/>
    <w:rsid w:val="00F9130D"/>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1B5898"/>
    <w:pPr>
      <w:keepNext/>
      <w:keepLines/>
      <w:tabs>
        <w:tab w:val="left" w:pos="975"/>
      </w:tabs>
      <w:spacing w:before="240" w:after="120"/>
      <w:ind w:left="975" w:hanging="340"/>
    </w:pPr>
    <w:rPr>
      <w:i w:val="0"/>
      <w:color w:val="auto"/>
      <w:sz w:val="20"/>
      <w:lang w:val="en-GB"/>
    </w:rPr>
  </w:style>
  <w:style w:type="paragraph" w:customStyle="1" w:styleId="ECHRHeading5">
    <w:name w:val="ECHR_Heading_5"/>
    <w:aliases w:val="Ju_H_i"/>
    <w:basedOn w:val="Titolo5"/>
    <w:next w:val="ECHRPara"/>
    <w:uiPriority w:val="23"/>
    <w:qFormat/>
    <w:rsid w:val="001B5898"/>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F9130D"/>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1B5898"/>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Titolo7"/>
    <w:next w:val="ECHRPara"/>
    <w:uiPriority w:val="25"/>
    <w:qFormat/>
    <w:rsid w:val="001B5898"/>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F9130D"/>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1B5898"/>
    <w:pPr>
      <w:keepNext/>
      <w:keepLines/>
      <w:spacing w:before="240"/>
      <w:ind w:firstLine="284"/>
    </w:pPr>
    <w:rPr>
      <w:lang w:val="en-GB"/>
    </w:rPr>
  </w:style>
  <w:style w:type="paragraph" w:customStyle="1" w:styleId="DecList">
    <w:name w:val="Dec_List"/>
    <w:basedOn w:val="Normale"/>
    <w:uiPriority w:val="9"/>
    <w:qFormat/>
    <w:rsid w:val="001B5898"/>
    <w:pPr>
      <w:spacing w:before="240"/>
      <w:ind w:left="284"/>
    </w:pPr>
    <w:rPr>
      <w:lang w:val="en-GB"/>
    </w:rPr>
  </w:style>
  <w:style w:type="character" w:customStyle="1" w:styleId="Titolo4Carattere">
    <w:name w:val="Titolo 4 Carattere"/>
    <w:basedOn w:val="Carpredefinitoparagrafo"/>
    <w:link w:val="Titolo4"/>
    <w:uiPriority w:val="99"/>
    <w:semiHidden/>
    <w:rsid w:val="00F9130D"/>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1B5898"/>
    <w:pPr>
      <w:tabs>
        <w:tab w:val="left" w:pos="567"/>
        <w:tab w:val="left" w:pos="1134"/>
      </w:tabs>
      <w:jc w:val="left"/>
    </w:pPr>
    <w:rPr>
      <w:lang w:val="en-GB"/>
    </w:rPr>
  </w:style>
  <w:style w:type="character" w:customStyle="1" w:styleId="Titolo5Carattere">
    <w:name w:val="Titolo 5 Carattere"/>
    <w:basedOn w:val="Carpredefinitoparagrafo"/>
    <w:link w:val="Titolo5"/>
    <w:uiPriority w:val="99"/>
    <w:semiHidden/>
    <w:rsid w:val="001B5898"/>
    <w:rPr>
      <w:rFonts w:asciiTheme="majorHAnsi" w:eastAsiaTheme="majorEastAsia" w:hAnsiTheme="majorHAnsi" w:cstheme="majorBidi"/>
      <w:b/>
      <w:bCs/>
      <w:color w:val="808080"/>
    </w:rPr>
  </w:style>
  <w:style w:type="paragraph" w:customStyle="1" w:styleId="JuCourt">
    <w:name w:val="Ju_Court"/>
    <w:basedOn w:val="Normale"/>
    <w:next w:val="Normale"/>
    <w:uiPriority w:val="16"/>
    <w:qFormat/>
    <w:rsid w:val="001B5898"/>
    <w:pPr>
      <w:tabs>
        <w:tab w:val="left" w:pos="907"/>
        <w:tab w:val="left" w:pos="1701"/>
        <w:tab w:val="right" w:pos="7371"/>
      </w:tabs>
      <w:spacing w:before="240"/>
      <w:ind w:left="397" w:hanging="397"/>
      <w:jc w:val="left"/>
    </w:pPr>
    <w:rPr>
      <w:lang w:val="en-GB" w:bidi="en-US"/>
    </w:rPr>
  </w:style>
  <w:style w:type="paragraph" w:customStyle="1" w:styleId="JuList">
    <w:name w:val="Ju_List"/>
    <w:basedOn w:val="Normale"/>
    <w:uiPriority w:val="28"/>
    <w:qFormat/>
    <w:rsid w:val="001B5898"/>
    <w:pPr>
      <w:ind w:left="340" w:hanging="340"/>
    </w:pPr>
    <w:rPr>
      <w:lang w:val="en-GB"/>
    </w:rPr>
  </w:style>
  <w:style w:type="character" w:styleId="Enfasidelicata">
    <w:name w:val="Subtle Emphasis"/>
    <w:uiPriority w:val="99"/>
    <w:semiHidden/>
    <w:qFormat/>
    <w:rsid w:val="001B5898"/>
    <w:rPr>
      <w:i/>
      <w:iCs/>
    </w:rPr>
  </w:style>
  <w:style w:type="paragraph" w:customStyle="1" w:styleId="JuLista">
    <w:name w:val="Ju_List_a"/>
    <w:basedOn w:val="JuList"/>
    <w:uiPriority w:val="28"/>
    <w:qFormat/>
    <w:rsid w:val="001B5898"/>
    <w:pPr>
      <w:ind w:left="346" w:firstLine="0"/>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basedOn w:val="Normale"/>
    <w:next w:val="JuLista"/>
    <w:uiPriority w:val="28"/>
    <w:qFormat/>
    <w:rsid w:val="001B5898"/>
    <w:pPr>
      <w:ind w:left="794"/>
    </w:pPr>
    <w:rPr>
      <w:lang w:val="en-GB"/>
    </w:rPr>
  </w:style>
  <w:style w:type="paragraph" w:customStyle="1" w:styleId="OpiH1">
    <w:name w:val="Opi_H_1"/>
    <w:basedOn w:val="ECHRHeading2"/>
    <w:uiPriority w:val="42"/>
    <w:semiHidden/>
    <w:qFormat/>
    <w:rsid w:val="001B5898"/>
    <w:pPr>
      <w:ind w:left="635" w:hanging="357"/>
      <w:outlineLvl w:val="2"/>
    </w:pPr>
  </w:style>
  <w:style w:type="paragraph" w:customStyle="1" w:styleId="ECHRTitleCentre2">
    <w:name w:val="ECHR_Title_Centre_2"/>
    <w:aliases w:val="Dec_H_Case"/>
    <w:basedOn w:val="Normale"/>
    <w:next w:val="ECHRPara"/>
    <w:uiPriority w:val="8"/>
    <w:qFormat/>
    <w:rsid w:val="001B5898"/>
    <w:pPr>
      <w:spacing w:after="240"/>
      <w:jc w:val="center"/>
      <w:outlineLvl w:val="0"/>
    </w:pPr>
    <w:rPr>
      <w:rFonts w:asciiTheme="majorHAnsi" w:hAnsiTheme="majorHAnsi"/>
      <w:lang w:val="en-GB"/>
    </w:rPr>
  </w:style>
  <w:style w:type="character" w:styleId="Enfasicorsivo">
    <w:name w:val="Emphasis"/>
    <w:uiPriority w:val="99"/>
    <w:semiHidden/>
    <w:qFormat/>
    <w:rsid w:val="001B5898"/>
    <w:rPr>
      <w:b/>
      <w:bCs/>
      <w:i/>
      <w:iCs/>
      <w:spacing w:val="10"/>
      <w:bdr w:val="none" w:sz="0" w:space="0" w:color="auto"/>
      <w:shd w:val="clear" w:color="auto" w:fill="auto"/>
    </w:rPr>
  </w:style>
  <w:style w:type="paragraph" w:styleId="Pidipagina">
    <w:name w:val="footer"/>
    <w:basedOn w:val="Normale"/>
    <w:link w:val="PidipaginaCarattere"/>
    <w:uiPriority w:val="57"/>
    <w:semiHidden/>
    <w:rsid w:val="00F9130D"/>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F9130D"/>
    <w:rPr>
      <w:sz w:val="24"/>
    </w:rPr>
  </w:style>
  <w:style w:type="character" w:styleId="Rimandonotaapidipagina">
    <w:name w:val="footnote reference"/>
    <w:basedOn w:val="Carpredefinitoparagrafo"/>
    <w:uiPriority w:val="99"/>
    <w:semiHidden/>
    <w:rsid w:val="00F9130D"/>
    <w:rPr>
      <w:vertAlign w:val="superscript"/>
    </w:rPr>
  </w:style>
  <w:style w:type="paragraph" w:styleId="Testonotaapidipagina">
    <w:name w:val="footnote text"/>
    <w:basedOn w:val="Normale"/>
    <w:link w:val="TestonotaapidipaginaCarattere"/>
    <w:uiPriority w:val="99"/>
    <w:semiHidden/>
    <w:rsid w:val="00F9130D"/>
    <w:rPr>
      <w:sz w:val="20"/>
      <w:szCs w:val="20"/>
    </w:rPr>
  </w:style>
  <w:style w:type="character" w:customStyle="1" w:styleId="TestonotaapidipaginaCarattere">
    <w:name w:val="Testo nota a piè di pagina Carattere"/>
    <w:basedOn w:val="Carpredefinitoparagrafo"/>
    <w:link w:val="Testonotaapidipagina"/>
    <w:uiPriority w:val="99"/>
    <w:semiHidden/>
    <w:rsid w:val="00F9130D"/>
    <w:rPr>
      <w:rFonts w:eastAsiaTheme="minorEastAsia"/>
      <w:sz w:val="20"/>
      <w:szCs w:val="20"/>
    </w:rPr>
  </w:style>
  <w:style w:type="character" w:customStyle="1" w:styleId="Titolo6Carattere">
    <w:name w:val="Titolo 6 Carattere"/>
    <w:basedOn w:val="Carpredefinitoparagrafo"/>
    <w:link w:val="Titolo6"/>
    <w:uiPriority w:val="99"/>
    <w:semiHidden/>
    <w:rsid w:val="00F9130D"/>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1B5898"/>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1B5898"/>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1B5898"/>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F9130D"/>
    <w:rPr>
      <w:color w:val="0072BC" w:themeColor="hyperlink"/>
      <w:u w:val="single"/>
    </w:rPr>
  </w:style>
  <w:style w:type="character" w:styleId="Enfasiintensa">
    <w:name w:val="Intense Emphasis"/>
    <w:uiPriority w:val="99"/>
    <w:semiHidden/>
    <w:qFormat/>
    <w:rsid w:val="001B5898"/>
    <w:rPr>
      <w:b/>
      <w:bCs/>
    </w:rPr>
  </w:style>
  <w:style w:type="paragraph" w:styleId="Citazioneintensa">
    <w:name w:val="Intense Quote"/>
    <w:basedOn w:val="Normale"/>
    <w:next w:val="Normale"/>
    <w:link w:val="CitazioneintensaCarattere"/>
    <w:uiPriority w:val="99"/>
    <w:semiHidden/>
    <w:qFormat/>
    <w:rsid w:val="001B5898"/>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1B5898"/>
    <w:rPr>
      <w:rFonts w:eastAsiaTheme="minorEastAsia"/>
      <w:b/>
      <w:bCs/>
      <w:i/>
      <w:iCs/>
      <w:lang w:bidi="en-US"/>
    </w:rPr>
  </w:style>
  <w:style w:type="character" w:styleId="Riferimentointenso">
    <w:name w:val="Intense Reference"/>
    <w:uiPriority w:val="99"/>
    <w:semiHidden/>
    <w:qFormat/>
    <w:rsid w:val="001B5898"/>
    <w:rPr>
      <w:smallCaps/>
      <w:spacing w:val="5"/>
      <w:u w:val="single"/>
    </w:rPr>
  </w:style>
  <w:style w:type="paragraph" w:styleId="Paragrafoelenco">
    <w:name w:val="List Paragraph"/>
    <w:basedOn w:val="Normale"/>
    <w:uiPriority w:val="99"/>
    <w:semiHidden/>
    <w:qFormat/>
    <w:rsid w:val="001B5898"/>
    <w:pPr>
      <w:ind w:left="720"/>
      <w:contextualSpacing/>
    </w:pPr>
    <w:rPr>
      <w:lang w:val="en-GB"/>
    </w:r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1B5898"/>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1B5898"/>
    <w:rPr>
      <w:rFonts w:eastAsiaTheme="minorEastAsia"/>
      <w:i/>
      <w:iCs/>
      <w:lang w:bidi="en-US"/>
    </w:rPr>
  </w:style>
  <w:style w:type="character" w:styleId="Riferimentodelicato">
    <w:name w:val="Subtle Reference"/>
    <w:uiPriority w:val="99"/>
    <w:semiHidden/>
    <w:qFormat/>
    <w:rsid w:val="001B5898"/>
    <w:rPr>
      <w:smallCaps/>
    </w:rPr>
  </w:style>
  <w:style w:type="table" w:styleId="Grigliatabella">
    <w:name w:val="Table Grid"/>
    <w:basedOn w:val="Tabellanormale"/>
    <w:uiPriority w:val="59"/>
    <w:semiHidden/>
    <w:rsid w:val="00F9130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F9130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F9130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F9130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F9130D"/>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F9130D"/>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1B5898"/>
    <w:pPr>
      <w:keepNext/>
      <w:keepLines/>
      <w:spacing w:before="240"/>
      <w:contextualSpacing/>
      <w:jc w:val="center"/>
    </w:pPr>
    <w:rPr>
      <w:rFonts w:asciiTheme="majorHAnsi" w:eastAsiaTheme="minorHAnsi" w:hAnsiTheme="majorHAnsi"/>
      <w:b/>
      <w:color w:val="474747" w:themeColor="accent3" w:themeShade="BF"/>
      <w:sz w:val="28"/>
      <w:lang w:val="en-GB"/>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F9130D"/>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a0">
    <w:name w:val="Opi_H_a"/>
    <w:basedOn w:val="ECHRHeading3"/>
    <w:uiPriority w:val="43"/>
    <w:semiHidden/>
    <w:qFormat/>
    <w:rsid w:val="001B5898"/>
    <w:pPr>
      <w:ind w:left="833" w:hanging="357"/>
      <w:outlineLvl w:val="3"/>
    </w:pPr>
    <w:rPr>
      <w:b/>
      <w:i w:val="0"/>
      <w:sz w:val="20"/>
    </w:rPr>
  </w:style>
  <w:style w:type="paragraph" w:customStyle="1" w:styleId="OpiHi">
    <w:name w:val="Opi_H_i"/>
    <w:basedOn w:val="ECHRHeading4"/>
    <w:uiPriority w:val="44"/>
    <w:semiHidden/>
    <w:qFormat/>
    <w:rsid w:val="001B5898"/>
    <w:pPr>
      <w:ind w:left="1037" w:hanging="357"/>
      <w:outlineLvl w:val="4"/>
    </w:pPr>
    <w:rPr>
      <w:b w:val="0"/>
      <w:i/>
    </w:rPr>
  </w:style>
  <w:style w:type="paragraph" w:styleId="Sottotitolo">
    <w:name w:val="Subtitle"/>
    <w:basedOn w:val="Normale"/>
    <w:next w:val="Normale"/>
    <w:link w:val="SottotitoloCarattere"/>
    <w:uiPriority w:val="99"/>
    <w:semiHidden/>
    <w:qFormat/>
    <w:rsid w:val="001B5898"/>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uiPriority w:val="12"/>
    <w:qFormat/>
    <w:rsid w:val="001B5898"/>
    <w:pPr>
      <w:ind w:firstLine="284"/>
    </w:pPr>
    <w:rPr>
      <w:lang w:val="en-GB"/>
    </w:rPr>
  </w:style>
  <w:style w:type="character" w:customStyle="1" w:styleId="SottotitoloCarattere">
    <w:name w:val="Sottotitolo Carattere"/>
    <w:basedOn w:val="Carpredefinitoparagrafo"/>
    <w:link w:val="Sottotitolo"/>
    <w:uiPriority w:val="99"/>
    <w:semiHidden/>
    <w:rsid w:val="001B5898"/>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9130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1B5898"/>
    <w:pPr>
      <w:tabs>
        <w:tab w:val="center" w:pos="851"/>
        <w:tab w:val="center" w:pos="6407"/>
      </w:tabs>
      <w:spacing w:before="720"/>
      <w:jc w:val="left"/>
    </w:pPr>
    <w:rPr>
      <w:lang w:val="en-GB"/>
    </w:rPr>
  </w:style>
  <w:style w:type="paragraph" w:customStyle="1" w:styleId="DummyStyle">
    <w:name w:val="Dummy_Style"/>
    <w:basedOn w:val="Normale"/>
    <w:semiHidden/>
    <w:qFormat/>
    <w:rsid w:val="001B5898"/>
    <w:rPr>
      <w:color w:val="00B050"/>
      <w:lang w:val="en-GB"/>
    </w:rPr>
  </w:style>
  <w:style w:type="paragraph" w:customStyle="1" w:styleId="DecHTitle">
    <w:name w:val="Dec_H_Title"/>
    <w:basedOn w:val="ECHRTitleCentre1"/>
    <w:uiPriority w:val="7"/>
    <w:qFormat/>
    <w:rsid w:val="001B5898"/>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lang w:val="en-GB"/>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F9130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F9130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F9130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JuHeaderLandscape">
    <w:name w:val="Ju_Header_Landscape"/>
    <w:basedOn w:val="ECHRHeader"/>
    <w:uiPriority w:val="4"/>
    <w:qFormat/>
    <w:rsid w:val="001B5898"/>
    <w:pPr>
      <w:tabs>
        <w:tab w:val="clear" w:pos="3686"/>
        <w:tab w:val="clear" w:pos="7371"/>
        <w:tab w:val="center" w:pos="6146"/>
        <w:tab w:val="right" w:pos="12293"/>
      </w:tabs>
    </w:pPr>
  </w:style>
  <w:style w:type="paragraph" w:customStyle="1" w:styleId="ECHRFooter">
    <w:name w:val="ECHR_Footer"/>
    <w:aliases w:val="Footer_ECHR"/>
    <w:basedOn w:val="Pidipagina"/>
    <w:uiPriority w:val="57"/>
    <w:semiHidden/>
    <w:rsid w:val="00F9130D"/>
    <w:pPr>
      <w:jc w:val="left"/>
    </w:pPr>
    <w:rPr>
      <w:sz w:val="8"/>
    </w:rPr>
  </w:style>
  <w:style w:type="paragraph" w:customStyle="1" w:styleId="ECHRFooterLine">
    <w:name w:val="ECHR_Footer_Line"/>
    <w:aliases w:val="Footer_Line"/>
    <w:basedOn w:val="Normale"/>
    <w:next w:val="ECHRFooter"/>
    <w:uiPriority w:val="57"/>
    <w:semiHidden/>
    <w:rsid w:val="00F9130D"/>
    <w:pPr>
      <w:pBdr>
        <w:top w:val="single" w:sz="6" w:space="1" w:color="5F5F5F"/>
      </w:pBdr>
      <w:tabs>
        <w:tab w:val="center" w:pos="4536"/>
        <w:tab w:val="right" w:pos="9696"/>
      </w:tabs>
      <w:ind w:left="-680" w:right="-680"/>
      <w:jc w:val="left"/>
    </w:pPr>
    <w:rPr>
      <w:color w:val="5F5F5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10CE8-5B40-42FE-9DA4-58E8C47C1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BA9EF8-B029-472E-8E21-829CCA42A2A5}">
  <ds:schemaRefs>
    <ds:schemaRef ds:uri="http://schemas.microsoft.com/sharepoint/v3/contenttype/forms"/>
  </ds:schemaRefs>
</ds:datastoreItem>
</file>

<file path=customXml/itemProps3.xml><?xml version="1.0" encoding="utf-8"?>
<ds:datastoreItem xmlns:ds="http://schemas.openxmlformats.org/officeDocument/2006/customXml" ds:itemID="{236CBFB1-2710-45C5-8B7D-B20CB89E71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5B951A-69F3-414A-9D68-881AFF39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9310</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2018-02-12T14:33:00Z</dcterms:created>
  <dcterms:modified xsi:type="dcterms:W3CDTF">2018-02-12T14:33:00Z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31031/16</vt:lpwstr>
  </property>
  <property fmtid="{D5CDD505-2E9C-101B-9397-08002B2CF9AE}" pid="4" name="CASEID">
    <vt:lpwstr>1204468</vt:lpwstr>
  </property>
  <property fmtid="{D5CDD505-2E9C-101B-9397-08002B2CF9AE}" pid="5" name="ContentTypeId">
    <vt:lpwstr>0x010100558EB02BDB9E204AB350EDD385B68E10</vt:lpwstr>
  </property>
</Properties>
</file>